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75C32" w14:textId="77777777" w:rsidR="00C17C43" w:rsidRDefault="00C17C43" w:rsidP="00F56F4C">
      <w:pPr>
        <w:spacing w:after="120"/>
        <w:jc w:val="center"/>
        <w:rPr>
          <w:b/>
          <w:sz w:val="24"/>
          <w:szCs w:val="24"/>
          <w:u w:val="single"/>
        </w:rPr>
      </w:pPr>
      <w:bookmarkStart w:id="0" w:name="_GoBack"/>
      <w:bookmarkEnd w:id="0"/>
      <w:r w:rsidRPr="00C17C43">
        <w:rPr>
          <w:b/>
          <w:noProof/>
          <w:sz w:val="24"/>
          <w:szCs w:val="24"/>
          <w:lang w:eastAsia="en-NZ"/>
        </w:rPr>
        <w:drawing>
          <wp:inline distT="0" distB="0" distL="0" distR="0" wp14:anchorId="218EB334" wp14:editId="7A7D83CA">
            <wp:extent cx="3864610" cy="27584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4610" cy="2758440"/>
                    </a:xfrm>
                    <a:prstGeom prst="rect">
                      <a:avLst/>
                    </a:prstGeom>
                  </pic:spPr>
                </pic:pic>
              </a:graphicData>
            </a:graphic>
          </wp:inline>
        </w:drawing>
      </w:r>
    </w:p>
    <w:p w14:paraId="58B8DEE7" w14:textId="77777777" w:rsidR="00C17C43" w:rsidRDefault="00C17C43" w:rsidP="00F56F4C">
      <w:pPr>
        <w:spacing w:after="120"/>
        <w:jc w:val="center"/>
        <w:rPr>
          <w:b/>
          <w:sz w:val="24"/>
          <w:szCs w:val="24"/>
          <w:u w:val="single"/>
        </w:rPr>
      </w:pPr>
    </w:p>
    <w:p w14:paraId="474C1D9B" w14:textId="77777777" w:rsidR="00B61A60" w:rsidRDefault="006733C9" w:rsidP="00F56F4C">
      <w:pPr>
        <w:spacing w:after="120"/>
        <w:jc w:val="center"/>
        <w:rPr>
          <w:b/>
          <w:sz w:val="48"/>
          <w:szCs w:val="48"/>
          <w:u w:val="single"/>
        </w:rPr>
      </w:pPr>
      <w:r w:rsidRPr="00C17C43">
        <w:rPr>
          <w:b/>
          <w:sz w:val="48"/>
          <w:szCs w:val="48"/>
          <w:u w:val="single"/>
        </w:rPr>
        <w:t>White Paper</w:t>
      </w:r>
    </w:p>
    <w:p w14:paraId="4E18AD68" w14:textId="77777777" w:rsidR="00C17C43" w:rsidRDefault="00C17C43" w:rsidP="00F56F4C">
      <w:pPr>
        <w:spacing w:after="120"/>
        <w:jc w:val="center"/>
        <w:rPr>
          <w:b/>
          <w:sz w:val="48"/>
          <w:szCs w:val="48"/>
          <w:u w:val="single"/>
        </w:rPr>
      </w:pPr>
    </w:p>
    <w:p w14:paraId="23C1506A" w14:textId="77777777" w:rsidR="00C17C43" w:rsidRDefault="006733C9" w:rsidP="00F56F4C">
      <w:pPr>
        <w:spacing w:after="120"/>
        <w:jc w:val="center"/>
        <w:rPr>
          <w:b/>
          <w:sz w:val="48"/>
          <w:szCs w:val="48"/>
          <w:u w:val="single"/>
        </w:rPr>
      </w:pPr>
      <w:r w:rsidRPr="00C17C43">
        <w:rPr>
          <w:b/>
          <w:sz w:val="48"/>
          <w:szCs w:val="48"/>
          <w:u w:val="single"/>
        </w:rPr>
        <w:t xml:space="preserve">Proposal for </w:t>
      </w:r>
      <w:r w:rsidR="00791134">
        <w:rPr>
          <w:b/>
          <w:sz w:val="48"/>
          <w:szCs w:val="48"/>
          <w:u w:val="single"/>
        </w:rPr>
        <w:t xml:space="preserve">a </w:t>
      </w:r>
      <w:r w:rsidRPr="00C17C43">
        <w:rPr>
          <w:b/>
          <w:sz w:val="48"/>
          <w:szCs w:val="48"/>
          <w:u w:val="single"/>
        </w:rPr>
        <w:t xml:space="preserve">New Zealand </w:t>
      </w:r>
      <w:r w:rsidR="002F661C">
        <w:rPr>
          <w:b/>
          <w:sz w:val="48"/>
          <w:szCs w:val="48"/>
          <w:u w:val="single"/>
        </w:rPr>
        <w:t>Regulatory Scheme</w:t>
      </w:r>
      <w:r w:rsidR="00C17C43" w:rsidRPr="00C17C43">
        <w:rPr>
          <w:b/>
          <w:sz w:val="48"/>
          <w:szCs w:val="48"/>
          <w:u w:val="single"/>
        </w:rPr>
        <w:t xml:space="preserve"> </w:t>
      </w:r>
      <w:r w:rsidR="00156C71">
        <w:rPr>
          <w:b/>
          <w:sz w:val="48"/>
          <w:szCs w:val="48"/>
          <w:u w:val="single"/>
        </w:rPr>
        <w:t xml:space="preserve">for </w:t>
      </w:r>
      <w:r w:rsidRPr="00C17C43">
        <w:rPr>
          <w:b/>
          <w:sz w:val="48"/>
          <w:szCs w:val="48"/>
          <w:u w:val="single"/>
        </w:rPr>
        <w:t>Medical Device</w:t>
      </w:r>
      <w:r w:rsidR="00B22045">
        <w:rPr>
          <w:b/>
          <w:sz w:val="48"/>
          <w:szCs w:val="48"/>
          <w:u w:val="single"/>
        </w:rPr>
        <w:t>s</w:t>
      </w:r>
    </w:p>
    <w:p w14:paraId="4A36BFFC" w14:textId="77777777" w:rsidR="00C17C43" w:rsidRDefault="00C17C43" w:rsidP="00F56F4C">
      <w:pPr>
        <w:spacing w:after="120"/>
        <w:jc w:val="center"/>
        <w:rPr>
          <w:b/>
          <w:sz w:val="48"/>
          <w:szCs w:val="48"/>
          <w:u w:val="single"/>
        </w:rPr>
      </w:pPr>
    </w:p>
    <w:p w14:paraId="316FF958" w14:textId="77777777" w:rsidR="00C17C43" w:rsidRDefault="00C17C43" w:rsidP="00F56F4C">
      <w:pPr>
        <w:spacing w:after="120"/>
        <w:jc w:val="center"/>
        <w:rPr>
          <w:b/>
          <w:sz w:val="44"/>
          <w:szCs w:val="44"/>
          <w:u w:val="single"/>
        </w:rPr>
      </w:pPr>
      <w:r>
        <w:rPr>
          <w:b/>
          <w:sz w:val="44"/>
          <w:szCs w:val="44"/>
          <w:u w:val="single"/>
        </w:rPr>
        <w:t>March 2015</w:t>
      </w:r>
    </w:p>
    <w:p w14:paraId="2FBD73CB" w14:textId="77777777" w:rsidR="00C17C43" w:rsidRDefault="00C17C43" w:rsidP="00F56F4C">
      <w:pPr>
        <w:spacing w:after="120"/>
        <w:jc w:val="center"/>
        <w:rPr>
          <w:b/>
          <w:sz w:val="44"/>
          <w:szCs w:val="44"/>
          <w:u w:val="single"/>
        </w:rPr>
      </w:pPr>
    </w:p>
    <w:p w14:paraId="12100FE3" w14:textId="77777777" w:rsidR="00C17C43" w:rsidRDefault="00C17C43" w:rsidP="00F56F4C">
      <w:pPr>
        <w:spacing w:after="120"/>
        <w:jc w:val="center"/>
        <w:rPr>
          <w:b/>
          <w:sz w:val="44"/>
          <w:szCs w:val="44"/>
          <w:u w:val="single"/>
        </w:rPr>
      </w:pPr>
    </w:p>
    <w:p w14:paraId="0D3E227A" w14:textId="77777777" w:rsidR="00C17C43" w:rsidRPr="00C17C43" w:rsidRDefault="00C17C43" w:rsidP="00F56F4C">
      <w:pPr>
        <w:spacing w:after="120"/>
        <w:rPr>
          <w:b/>
          <w:sz w:val="44"/>
          <w:szCs w:val="44"/>
          <w:u w:val="single"/>
        </w:rPr>
      </w:pPr>
      <w:r w:rsidRPr="00C17C43">
        <w:rPr>
          <w:b/>
          <w:noProof/>
          <w:sz w:val="44"/>
          <w:szCs w:val="44"/>
          <w:lang w:eastAsia="en-NZ"/>
        </w:rPr>
        <w:drawing>
          <wp:inline distT="0" distB="0" distL="0" distR="0" wp14:anchorId="3C35DB89" wp14:editId="7933FA0C">
            <wp:extent cx="6158230" cy="169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nning man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58230" cy="1699260"/>
                    </a:xfrm>
                    <a:prstGeom prst="rect">
                      <a:avLst/>
                    </a:prstGeom>
                  </pic:spPr>
                </pic:pic>
              </a:graphicData>
            </a:graphic>
          </wp:inline>
        </w:drawing>
      </w:r>
    </w:p>
    <w:p w14:paraId="23BD5FD7" w14:textId="77777777" w:rsidR="00242A4A" w:rsidRDefault="00242A4A" w:rsidP="00242A4A">
      <w:pPr>
        <w:rPr>
          <w:b/>
        </w:rPr>
      </w:pPr>
    </w:p>
    <w:p w14:paraId="33127374" w14:textId="77777777" w:rsidR="00242A4A" w:rsidRDefault="00242A4A" w:rsidP="00242A4A">
      <w:pPr>
        <w:ind w:firstLine="360"/>
        <w:rPr>
          <w:rFonts w:ascii="Arial" w:hAnsi="Arial" w:cs="Arial"/>
          <w:b/>
          <w:sz w:val="24"/>
          <w:szCs w:val="24"/>
          <w:u w:val="single"/>
        </w:rPr>
      </w:pPr>
      <w:r>
        <w:rPr>
          <w:rFonts w:ascii="Arial" w:hAnsi="Arial" w:cs="Arial"/>
          <w:b/>
          <w:sz w:val="24"/>
          <w:szCs w:val="24"/>
          <w:u w:val="single"/>
        </w:rPr>
        <w:t>CONTENTS</w:t>
      </w:r>
    </w:p>
    <w:p w14:paraId="65E3F364" w14:textId="77777777" w:rsidR="00242A4A" w:rsidRDefault="00242A4A" w:rsidP="00242A4A">
      <w:pPr>
        <w:rPr>
          <w:rFonts w:ascii="Arial" w:hAnsi="Arial" w:cs="Arial"/>
          <w:b/>
          <w:sz w:val="24"/>
          <w:szCs w:val="24"/>
          <w:u w:val="single"/>
        </w:rPr>
      </w:pPr>
    </w:p>
    <w:p w14:paraId="74FD43C1" w14:textId="77777777" w:rsidR="00242A4A" w:rsidRPr="00242A4A" w:rsidRDefault="00242A4A" w:rsidP="004C10C6">
      <w:pPr>
        <w:pStyle w:val="ListParagraph"/>
        <w:numPr>
          <w:ilvl w:val="0"/>
          <w:numId w:val="11"/>
        </w:numPr>
        <w:rPr>
          <w:rFonts w:ascii="Arial" w:hAnsi="Arial" w:cs="Arial"/>
          <w:b/>
          <w:sz w:val="24"/>
          <w:szCs w:val="24"/>
        </w:rPr>
      </w:pPr>
      <w:r w:rsidRPr="00242A4A">
        <w:rPr>
          <w:rFonts w:ascii="Arial" w:hAnsi="Arial" w:cs="Arial"/>
          <w:b/>
          <w:sz w:val="24"/>
          <w:szCs w:val="24"/>
        </w:rPr>
        <w:t>Executive Summary</w:t>
      </w:r>
      <w:r w:rsidR="00F0685F">
        <w:rPr>
          <w:rFonts w:ascii="Arial" w:hAnsi="Arial" w:cs="Arial"/>
          <w:b/>
          <w:sz w:val="24"/>
          <w:szCs w:val="24"/>
        </w:rPr>
        <w:tab/>
      </w:r>
      <w:r w:rsidR="00F0685F">
        <w:rPr>
          <w:rFonts w:ascii="Arial" w:hAnsi="Arial" w:cs="Arial"/>
          <w:b/>
          <w:sz w:val="24"/>
          <w:szCs w:val="24"/>
        </w:rPr>
        <w:tab/>
      </w:r>
      <w:r w:rsidR="00F0685F">
        <w:rPr>
          <w:rFonts w:ascii="Arial" w:hAnsi="Arial" w:cs="Arial"/>
          <w:b/>
          <w:sz w:val="24"/>
          <w:szCs w:val="24"/>
        </w:rPr>
        <w:tab/>
      </w:r>
      <w:r w:rsidR="00F0685F">
        <w:rPr>
          <w:rFonts w:ascii="Arial" w:hAnsi="Arial" w:cs="Arial"/>
          <w:b/>
          <w:sz w:val="24"/>
          <w:szCs w:val="24"/>
        </w:rPr>
        <w:tab/>
      </w:r>
      <w:r w:rsidR="00F0685F">
        <w:rPr>
          <w:rFonts w:ascii="Arial" w:hAnsi="Arial" w:cs="Arial"/>
          <w:b/>
          <w:sz w:val="24"/>
          <w:szCs w:val="24"/>
        </w:rPr>
        <w:tab/>
      </w:r>
      <w:r w:rsidR="00F0685F">
        <w:rPr>
          <w:rFonts w:ascii="Arial" w:hAnsi="Arial" w:cs="Arial"/>
          <w:b/>
          <w:sz w:val="24"/>
          <w:szCs w:val="24"/>
        </w:rPr>
        <w:tab/>
      </w:r>
      <w:r w:rsidR="00F0685F">
        <w:rPr>
          <w:rFonts w:ascii="Arial" w:hAnsi="Arial" w:cs="Arial"/>
          <w:b/>
          <w:sz w:val="24"/>
          <w:szCs w:val="24"/>
        </w:rPr>
        <w:tab/>
      </w:r>
      <w:r>
        <w:rPr>
          <w:rFonts w:ascii="Arial" w:hAnsi="Arial" w:cs="Arial"/>
          <w:b/>
          <w:sz w:val="24"/>
          <w:szCs w:val="24"/>
        </w:rPr>
        <w:br/>
      </w:r>
    </w:p>
    <w:p w14:paraId="331D29B1" w14:textId="77777777" w:rsidR="00242A4A" w:rsidRDefault="00242A4A" w:rsidP="004C10C6">
      <w:pPr>
        <w:pStyle w:val="ListParagraph"/>
        <w:numPr>
          <w:ilvl w:val="0"/>
          <w:numId w:val="11"/>
        </w:numPr>
        <w:rPr>
          <w:rFonts w:ascii="Arial" w:hAnsi="Arial" w:cs="Arial"/>
          <w:b/>
          <w:sz w:val="24"/>
          <w:szCs w:val="24"/>
        </w:rPr>
      </w:pPr>
      <w:r>
        <w:rPr>
          <w:rFonts w:ascii="Arial" w:hAnsi="Arial" w:cs="Arial"/>
          <w:b/>
          <w:sz w:val="24"/>
          <w:szCs w:val="24"/>
        </w:rPr>
        <w:t>About the Medical Technology Association of NZ</w:t>
      </w:r>
      <w:r w:rsidR="00F0685F">
        <w:rPr>
          <w:rFonts w:ascii="Arial" w:hAnsi="Arial" w:cs="Arial"/>
          <w:b/>
          <w:sz w:val="24"/>
          <w:szCs w:val="24"/>
        </w:rPr>
        <w:tab/>
      </w:r>
      <w:r w:rsidR="00F0685F">
        <w:rPr>
          <w:rFonts w:ascii="Arial" w:hAnsi="Arial" w:cs="Arial"/>
          <w:b/>
          <w:sz w:val="24"/>
          <w:szCs w:val="24"/>
        </w:rPr>
        <w:tab/>
      </w:r>
      <w:r>
        <w:rPr>
          <w:rFonts w:ascii="Arial" w:hAnsi="Arial" w:cs="Arial"/>
          <w:b/>
          <w:sz w:val="24"/>
          <w:szCs w:val="24"/>
        </w:rPr>
        <w:br/>
      </w:r>
    </w:p>
    <w:p w14:paraId="00D53868" w14:textId="77777777" w:rsidR="00242A4A" w:rsidRDefault="00242A4A" w:rsidP="004C10C6">
      <w:pPr>
        <w:pStyle w:val="ListParagraph"/>
        <w:numPr>
          <w:ilvl w:val="0"/>
          <w:numId w:val="11"/>
        </w:numPr>
        <w:rPr>
          <w:rFonts w:ascii="Arial" w:hAnsi="Arial" w:cs="Arial"/>
          <w:b/>
          <w:sz w:val="24"/>
          <w:szCs w:val="24"/>
        </w:rPr>
      </w:pPr>
      <w:r>
        <w:rPr>
          <w:rFonts w:ascii="Arial" w:hAnsi="Arial" w:cs="Arial"/>
          <w:b/>
          <w:sz w:val="24"/>
          <w:szCs w:val="24"/>
        </w:rPr>
        <w:t>Aim of the paper</w:t>
      </w:r>
      <w:r w:rsidR="00F0685F">
        <w:rPr>
          <w:rFonts w:ascii="Arial" w:hAnsi="Arial" w:cs="Arial"/>
          <w:b/>
          <w:sz w:val="24"/>
          <w:szCs w:val="24"/>
        </w:rPr>
        <w:tab/>
      </w:r>
      <w:r w:rsidR="00F0685F">
        <w:rPr>
          <w:rFonts w:ascii="Arial" w:hAnsi="Arial" w:cs="Arial"/>
          <w:b/>
          <w:sz w:val="24"/>
          <w:szCs w:val="24"/>
        </w:rPr>
        <w:tab/>
      </w:r>
      <w:r w:rsidR="00F0685F">
        <w:rPr>
          <w:rFonts w:ascii="Arial" w:hAnsi="Arial" w:cs="Arial"/>
          <w:b/>
          <w:sz w:val="24"/>
          <w:szCs w:val="24"/>
        </w:rPr>
        <w:tab/>
      </w:r>
      <w:r w:rsidR="00F0685F">
        <w:rPr>
          <w:rFonts w:ascii="Arial" w:hAnsi="Arial" w:cs="Arial"/>
          <w:b/>
          <w:sz w:val="24"/>
          <w:szCs w:val="24"/>
        </w:rPr>
        <w:tab/>
      </w:r>
      <w:r w:rsidR="00F0685F">
        <w:rPr>
          <w:rFonts w:ascii="Arial" w:hAnsi="Arial" w:cs="Arial"/>
          <w:b/>
          <w:sz w:val="24"/>
          <w:szCs w:val="24"/>
        </w:rPr>
        <w:tab/>
      </w:r>
      <w:r w:rsidR="00F0685F">
        <w:rPr>
          <w:rFonts w:ascii="Arial" w:hAnsi="Arial" w:cs="Arial"/>
          <w:b/>
          <w:sz w:val="24"/>
          <w:szCs w:val="24"/>
        </w:rPr>
        <w:tab/>
      </w:r>
    </w:p>
    <w:p w14:paraId="0EE19DBD" w14:textId="77777777" w:rsidR="00242A4A" w:rsidRDefault="00242A4A" w:rsidP="00242A4A">
      <w:pPr>
        <w:pStyle w:val="ListParagraph"/>
        <w:ind w:left="1080"/>
        <w:rPr>
          <w:rFonts w:ascii="Arial" w:hAnsi="Arial" w:cs="Arial"/>
          <w:b/>
          <w:sz w:val="24"/>
          <w:szCs w:val="24"/>
        </w:rPr>
      </w:pPr>
    </w:p>
    <w:p w14:paraId="006D18BB" w14:textId="77777777" w:rsidR="00242A4A" w:rsidRDefault="00242A4A" w:rsidP="004C10C6">
      <w:pPr>
        <w:pStyle w:val="ListParagraph"/>
        <w:numPr>
          <w:ilvl w:val="0"/>
          <w:numId w:val="11"/>
        </w:numPr>
        <w:rPr>
          <w:rFonts w:ascii="Arial" w:hAnsi="Arial" w:cs="Arial"/>
          <w:b/>
          <w:sz w:val="24"/>
          <w:szCs w:val="24"/>
        </w:rPr>
      </w:pPr>
      <w:r>
        <w:rPr>
          <w:rFonts w:ascii="Arial" w:hAnsi="Arial" w:cs="Arial"/>
          <w:b/>
          <w:sz w:val="24"/>
          <w:szCs w:val="24"/>
        </w:rPr>
        <w:t>The current NZ regulatory requirements for medical devices</w:t>
      </w:r>
      <w:r w:rsidR="00F0685F">
        <w:rPr>
          <w:rFonts w:ascii="Arial" w:hAnsi="Arial" w:cs="Arial"/>
          <w:b/>
          <w:sz w:val="24"/>
          <w:szCs w:val="24"/>
        </w:rPr>
        <w:t xml:space="preserve"> </w:t>
      </w:r>
      <w:r>
        <w:rPr>
          <w:rFonts w:ascii="Arial" w:hAnsi="Arial" w:cs="Arial"/>
          <w:b/>
          <w:sz w:val="24"/>
          <w:szCs w:val="24"/>
        </w:rPr>
        <w:br/>
      </w:r>
    </w:p>
    <w:p w14:paraId="745A7E55" w14:textId="77777777" w:rsidR="00242A4A" w:rsidRDefault="00242A4A" w:rsidP="004C10C6">
      <w:pPr>
        <w:pStyle w:val="ListParagraph"/>
        <w:numPr>
          <w:ilvl w:val="0"/>
          <w:numId w:val="11"/>
        </w:numPr>
        <w:rPr>
          <w:rFonts w:ascii="Arial" w:hAnsi="Arial" w:cs="Arial"/>
          <w:b/>
          <w:sz w:val="24"/>
          <w:szCs w:val="24"/>
        </w:rPr>
      </w:pPr>
      <w:r>
        <w:rPr>
          <w:rFonts w:ascii="Arial" w:hAnsi="Arial" w:cs="Arial"/>
          <w:b/>
          <w:sz w:val="24"/>
          <w:szCs w:val="24"/>
        </w:rPr>
        <w:t>Background</w:t>
      </w:r>
      <w:r>
        <w:rPr>
          <w:rFonts w:ascii="Arial" w:hAnsi="Arial" w:cs="Arial"/>
          <w:b/>
          <w:sz w:val="24"/>
          <w:szCs w:val="24"/>
        </w:rPr>
        <w:br/>
      </w:r>
    </w:p>
    <w:p w14:paraId="4EAD7482" w14:textId="77777777" w:rsidR="00242A4A" w:rsidRDefault="00242A4A" w:rsidP="004C10C6">
      <w:pPr>
        <w:pStyle w:val="ListParagraph"/>
        <w:numPr>
          <w:ilvl w:val="0"/>
          <w:numId w:val="11"/>
        </w:numPr>
        <w:rPr>
          <w:rFonts w:ascii="Arial" w:hAnsi="Arial" w:cs="Arial"/>
          <w:b/>
          <w:sz w:val="24"/>
          <w:szCs w:val="24"/>
        </w:rPr>
      </w:pPr>
      <w:r>
        <w:rPr>
          <w:rFonts w:ascii="Arial" w:hAnsi="Arial" w:cs="Arial"/>
          <w:b/>
          <w:sz w:val="24"/>
          <w:szCs w:val="24"/>
        </w:rPr>
        <w:t>EU Notified Bodies and Competent Authorities</w:t>
      </w:r>
      <w:r>
        <w:rPr>
          <w:rFonts w:ascii="Arial" w:hAnsi="Arial" w:cs="Arial"/>
          <w:b/>
          <w:sz w:val="24"/>
          <w:szCs w:val="24"/>
        </w:rPr>
        <w:br/>
      </w:r>
    </w:p>
    <w:p w14:paraId="6F5B82F4" w14:textId="77777777" w:rsidR="00242A4A" w:rsidRDefault="00242A4A" w:rsidP="004C10C6">
      <w:pPr>
        <w:pStyle w:val="ListParagraph"/>
        <w:numPr>
          <w:ilvl w:val="0"/>
          <w:numId w:val="11"/>
        </w:numPr>
        <w:rPr>
          <w:rFonts w:ascii="Arial" w:hAnsi="Arial" w:cs="Arial"/>
          <w:b/>
          <w:sz w:val="24"/>
          <w:szCs w:val="24"/>
        </w:rPr>
      </w:pPr>
      <w:r>
        <w:rPr>
          <w:rFonts w:ascii="Arial" w:hAnsi="Arial" w:cs="Arial"/>
          <w:b/>
          <w:sz w:val="24"/>
          <w:szCs w:val="24"/>
        </w:rPr>
        <w:t>A proposed regulatory scheme for medical devices in NZ</w:t>
      </w:r>
      <w:r>
        <w:rPr>
          <w:rFonts w:ascii="Arial" w:hAnsi="Arial" w:cs="Arial"/>
          <w:b/>
          <w:sz w:val="24"/>
          <w:szCs w:val="24"/>
        </w:rPr>
        <w:br/>
      </w:r>
    </w:p>
    <w:p w14:paraId="24BBC1C7" w14:textId="77777777" w:rsidR="00242A4A" w:rsidRPr="00242A4A" w:rsidRDefault="00242A4A" w:rsidP="004C10C6">
      <w:pPr>
        <w:pStyle w:val="ListParagraph"/>
        <w:numPr>
          <w:ilvl w:val="0"/>
          <w:numId w:val="11"/>
        </w:numPr>
        <w:rPr>
          <w:rFonts w:ascii="Arial" w:hAnsi="Arial" w:cs="Arial"/>
          <w:b/>
          <w:sz w:val="24"/>
          <w:szCs w:val="24"/>
        </w:rPr>
      </w:pPr>
      <w:r>
        <w:rPr>
          <w:rFonts w:ascii="Arial" w:hAnsi="Arial" w:cs="Arial"/>
          <w:b/>
          <w:sz w:val="24"/>
          <w:szCs w:val="24"/>
        </w:rPr>
        <w:t xml:space="preserve">Conclusions </w:t>
      </w:r>
    </w:p>
    <w:p w14:paraId="5205C1F0" w14:textId="77777777" w:rsidR="00242A4A" w:rsidRDefault="00242A4A" w:rsidP="00242A4A">
      <w:pPr>
        <w:rPr>
          <w:b/>
        </w:rPr>
      </w:pPr>
    </w:p>
    <w:p w14:paraId="41EDFB70" w14:textId="77777777" w:rsidR="00242A4A" w:rsidRDefault="00242A4A" w:rsidP="00242A4A">
      <w:pPr>
        <w:rPr>
          <w:b/>
        </w:rPr>
      </w:pPr>
    </w:p>
    <w:p w14:paraId="61D3DD10" w14:textId="77777777" w:rsidR="00242A4A" w:rsidRDefault="00242A4A" w:rsidP="00242A4A">
      <w:pPr>
        <w:rPr>
          <w:b/>
        </w:rPr>
      </w:pPr>
    </w:p>
    <w:p w14:paraId="17D4A5CD" w14:textId="77777777" w:rsidR="00242A4A" w:rsidRDefault="00242A4A" w:rsidP="00242A4A">
      <w:pPr>
        <w:rPr>
          <w:b/>
        </w:rPr>
      </w:pPr>
    </w:p>
    <w:p w14:paraId="53E96E08" w14:textId="77777777" w:rsidR="00242A4A" w:rsidRDefault="00242A4A" w:rsidP="00242A4A">
      <w:pPr>
        <w:rPr>
          <w:b/>
        </w:rPr>
      </w:pPr>
    </w:p>
    <w:p w14:paraId="3D2F0A77" w14:textId="77777777" w:rsidR="00242A4A" w:rsidRDefault="00242A4A" w:rsidP="00242A4A">
      <w:pPr>
        <w:rPr>
          <w:b/>
        </w:rPr>
      </w:pPr>
    </w:p>
    <w:p w14:paraId="50B13DBD" w14:textId="77777777" w:rsidR="00242A4A" w:rsidRDefault="00242A4A" w:rsidP="00242A4A">
      <w:pPr>
        <w:rPr>
          <w:b/>
        </w:rPr>
      </w:pPr>
    </w:p>
    <w:p w14:paraId="3A9A5294" w14:textId="77777777" w:rsidR="00242A4A" w:rsidRDefault="00242A4A" w:rsidP="00242A4A">
      <w:pPr>
        <w:rPr>
          <w:b/>
        </w:rPr>
      </w:pPr>
    </w:p>
    <w:p w14:paraId="4D5EC637" w14:textId="77777777" w:rsidR="00242A4A" w:rsidRDefault="00242A4A" w:rsidP="00242A4A">
      <w:pPr>
        <w:rPr>
          <w:b/>
        </w:rPr>
      </w:pPr>
    </w:p>
    <w:p w14:paraId="47E70CA3" w14:textId="77777777" w:rsidR="00242A4A" w:rsidRDefault="00242A4A" w:rsidP="00242A4A">
      <w:pPr>
        <w:rPr>
          <w:b/>
        </w:rPr>
      </w:pPr>
    </w:p>
    <w:p w14:paraId="05DCAF32" w14:textId="77777777" w:rsidR="00242A4A" w:rsidRDefault="00242A4A" w:rsidP="00242A4A">
      <w:pPr>
        <w:rPr>
          <w:b/>
        </w:rPr>
      </w:pPr>
    </w:p>
    <w:p w14:paraId="7E39CCCE" w14:textId="77777777" w:rsidR="00242A4A" w:rsidRDefault="00242A4A" w:rsidP="00242A4A">
      <w:pPr>
        <w:rPr>
          <w:b/>
        </w:rPr>
      </w:pPr>
    </w:p>
    <w:p w14:paraId="0A72EB28" w14:textId="77777777" w:rsidR="00242A4A" w:rsidRDefault="00242A4A" w:rsidP="00242A4A">
      <w:pPr>
        <w:rPr>
          <w:b/>
        </w:rPr>
      </w:pPr>
    </w:p>
    <w:p w14:paraId="75B41BCB" w14:textId="77777777" w:rsidR="00242A4A" w:rsidRDefault="00242A4A" w:rsidP="00242A4A">
      <w:pPr>
        <w:rPr>
          <w:b/>
        </w:rPr>
      </w:pPr>
    </w:p>
    <w:p w14:paraId="199B38C7" w14:textId="77777777" w:rsidR="00242A4A" w:rsidRDefault="00242A4A" w:rsidP="00242A4A">
      <w:pPr>
        <w:rPr>
          <w:b/>
        </w:rPr>
      </w:pPr>
    </w:p>
    <w:p w14:paraId="72DDF1D9" w14:textId="77777777" w:rsidR="00242A4A" w:rsidRDefault="00242A4A" w:rsidP="00242A4A">
      <w:pPr>
        <w:rPr>
          <w:b/>
        </w:rPr>
      </w:pPr>
    </w:p>
    <w:p w14:paraId="4793FD94" w14:textId="77777777" w:rsidR="002B314E" w:rsidRPr="00242A4A" w:rsidRDefault="00242A4A" w:rsidP="00242A4A">
      <w:pPr>
        <w:rPr>
          <w:b/>
        </w:rPr>
      </w:pPr>
      <w:r>
        <w:rPr>
          <w:rFonts w:ascii="Arial" w:hAnsi="Arial" w:cs="Arial"/>
          <w:b/>
        </w:rPr>
        <w:lastRenderedPageBreak/>
        <w:t>1</w:t>
      </w:r>
      <w:r w:rsidRPr="00242A4A">
        <w:rPr>
          <w:rFonts w:ascii="Arial" w:hAnsi="Arial" w:cs="Arial"/>
          <w:b/>
        </w:rPr>
        <w:t xml:space="preserve">   </w:t>
      </w:r>
      <w:r>
        <w:rPr>
          <w:rFonts w:ascii="Arial" w:hAnsi="Arial" w:cs="Arial"/>
          <w:b/>
        </w:rPr>
        <w:t xml:space="preserve">     </w:t>
      </w:r>
      <w:r w:rsidR="006733C9" w:rsidRPr="00475926">
        <w:rPr>
          <w:rFonts w:ascii="Arial" w:hAnsi="Arial" w:cs="Arial"/>
          <w:b/>
          <w:sz w:val="24"/>
          <w:szCs w:val="24"/>
        </w:rPr>
        <w:t>Executive Summary</w:t>
      </w:r>
    </w:p>
    <w:p w14:paraId="1373F866" w14:textId="77777777" w:rsidR="00210972" w:rsidRPr="00475926" w:rsidRDefault="00F610C5" w:rsidP="00FA04B5">
      <w:pPr>
        <w:autoSpaceDE w:val="0"/>
        <w:autoSpaceDN w:val="0"/>
        <w:adjustRightInd w:val="0"/>
        <w:spacing w:after="120"/>
        <w:rPr>
          <w:rFonts w:ascii="Arial" w:hAnsi="Arial" w:cs="Arial"/>
          <w:color w:val="1D1D1B"/>
          <w:sz w:val="22"/>
          <w:szCs w:val="22"/>
        </w:rPr>
      </w:pPr>
      <w:r w:rsidRPr="00475926">
        <w:rPr>
          <w:rFonts w:ascii="Arial" w:hAnsi="Arial" w:cs="Arial"/>
          <w:color w:val="1D1D1B"/>
          <w:sz w:val="22"/>
          <w:szCs w:val="22"/>
        </w:rPr>
        <w:t xml:space="preserve">Following the cessation of efforts to establish a joint therapeutic agency with Australia and the need to upgrade the current </w:t>
      </w:r>
      <w:r w:rsidRPr="00475926">
        <w:rPr>
          <w:rFonts w:ascii="Arial" w:hAnsi="Arial" w:cs="Arial"/>
          <w:i/>
          <w:color w:val="1D1D1B"/>
          <w:sz w:val="22"/>
          <w:szCs w:val="22"/>
        </w:rPr>
        <w:t xml:space="preserve">Medicines Act 1981, </w:t>
      </w:r>
      <w:r w:rsidRPr="00475926">
        <w:rPr>
          <w:rFonts w:ascii="Arial" w:hAnsi="Arial" w:cs="Arial"/>
          <w:color w:val="1D1D1B"/>
          <w:sz w:val="22"/>
          <w:szCs w:val="22"/>
        </w:rPr>
        <w:t>t</w:t>
      </w:r>
      <w:r w:rsidR="00210972" w:rsidRPr="00475926">
        <w:rPr>
          <w:rFonts w:ascii="Arial" w:hAnsi="Arial" w:cs="Arial"/>
          <w:color w:val="1D1D1B"/>
          <w:sz w:val="22"/>
          <w:szCs w:val="22"/>
        </w:rPr>
        <w:t>he Medical Technology Association of New Zealand (MTANZ) pr</w:t>
      </w:r>
      <w:r w:rsidRPr="00475926">
        <w:rPr>
          <w:rFonts w:ascii="Arial" w:hAnsi="Arial" w:cs="Arial"/>
          <w:color w:val="1D1D1B"/>
          <w:sz w:val="22"/>
          <w:szCs w:val="22"/>
        </w:rPr>
        <w:t>esents this paper</w:t>
      </w:r>
      <w:r w:rsidR="00210972" w:rsidRPr="00475926">
        <w:rPr>
          <w:rFonts w:ascii="Arial" w:hAnsi="Arial" w:cs="Arial"/>
          <w:color w:val="1D1D1B"/>
          <w:sz w:val="22"/>
          <w:szCs w:val="22"/>
        </w:rPr>
        <w:t>. MTANZ has always supported the requirement for medical devices entering the New Zealand market to demonstrate that they meet an internationally-recognised standard for safety and performance.</w:t>
      </w:r>
    </w:p>
    <w:p w14:paraId="630D2E87" w14:textId="77777777" w:rsidR="00210972" w:rsidRPr="00475926" w:rsidRDefault="00210972" w:rsidP="00FA04B5">
      <w:pPr>
        <w:autoSpaceDE w:val="0"/>
        <w:autoSpaceDN w:val="0"/>
        <w:adjustRightInd w:val="0"/>
        <w:spacing w:after="120"/>
        <w:rPr>
          <w:rFonts w:ascii="Arial" w:hAnsi="Arial" w:cs="Arial"/>
          <w:color w:val="1D1D1B"/>
          <w:sz w:val="22"/>
          <w:szCs w:val="22"/>
        </w:rPr>
      </w:pPr>
      <w:r w:rsidRPr="00475926">
        <w:rPr>
          <w:rFonts w:ascii="Arial" w:hAnsi="Arial" w:cs="Arial"/>
          <w:color w:val="1D1D1B"/>
          <w:sz w:val="22"/>
          <w:szCs w:val="22"/>
        </w:rPr>
        <w:t xml:space="preserve">New Zealand now has the opportunity to establish a regulatory scheme </w:t>
      </w:r>
      <w:r w:rsidR="00DE5DC5" w:rsidRPr="00475926">
        <w:rPr>
          <w:rFonts w:ascii="Arial" w:hAnsi="Arial" w:cs="Arial"/>
          <w:color w:val="1D1D1B"/>
          <w:sz w:val="22"/>
          <w:szCs w:val="22"/>
        </w:rPr>
        <w:t>that is comprehensive, effective and efficient, reflects our small therapeutic market and does not creat</w:t>
      </w:r>
      <w:r w:rsidR="00156C71" w:rsidRPr="00475926">
        <w:rPr>
          <w:rFonts w:ascii="Arial" w:hAnsi="Arial" w:cs="Arial"/>
          <w:color w:val="1D1D1B"/>
          <w:sz w:val="22"/>
          <w:szCs w:val="22"/>
        </w:rPr>
        <w:t>e barriers for New Zealanders’</w:t>
      </w:r>
      <w:r w:rsidR="00DE5DC5" w:rsidRPr="00475926">
        <w:rPr>
          <w:rFonts w:ascii="Arial" w:hAnsi="Arial" w:cs="Arial"/>
          <w:color w:val="1D1D1B"/>
          <w:sz w:val="22"/>
          <w:szCs w:val="22"/>
        </w:rPr>
        <w:t xml:space="preserve"> </w:t>
      </w:r>
      <w:r w:rsidR="00387DE3" w:rsidRPr="00475926">
        <w:rPr>
          <w:rFonts w:ascii="Arial" w:hAnsi="Arial" w:cs="Arial"/>
          <w:color w:val="1D1D1B"/>
          <w:sz w:val="22"/>
          <w:szCs w:val="22"/>
        </w:rPr>
        <w:t xml:space="preserve">to </w:t>
      </w:r>
      <w:r w:rsidR="00DE5DC5" w:rsidRPr="00475926">
        <w:rPr>
          <w:rFonts w:ascii="Arial" w:hAnsi="Arial" w:cs="Arial"/>
          <w:color w:val="1D1D1B"/>
          <w:sz w:val="22"/>
          <w:szCs w:val="22"/>
        </w:rPr>
        <w:t>acc</w:t>
      </w:r>
      <w:r w:rsidR="00156C71" w:rsidRPr="00475926">
        <w:rPr>
          <w:rFonts w:ascii="Arial" w:hAnsi="Arial" w:cs="Arial"/>
          <w:color w:val="1D1D1B"/>
          <w:sz w:val="22"/>
          <w:szCs w:val="22"/>
        </w:rPr>
        <w:t>ess life-saving technology in a timely manner.</w:t>
      </w:r>
      <w:r w:rsidR="00DE5DC5" w:rsidRPr="00475926">
        <w:rPr>
          <w:rFonts w:ascii="Arial" w:hAnsi="Arial" w:cs="Arial"/>
          <w:color w:val="1D1D1B"/>
          <w:sz w:val="22"/>
          <w:szCs w:val="22"/>
        </w:rPr>
        <w:t xml:space="preserve"> </w:t>
      </w:r>
    </w:p>
    <w:p w14:paraId="0BBEEA35" w14:textId="77777777" w:rsidR="00DE5DC5" w:rsidRPr="00475926" w:rsidRDefault="00DE5DC5" w:rsidP="00FA04B5">
      <w:pPr>
        <w:autoSpaceDE w:val="0"/>
        <w:autoSpaceDN w:val="0"/>
        <w:adjustRightInd w:val="0"/>
        <w:spacing w:after="120"/>
        <w:rPr>
          <w:rFonts w:ascii="Arial" w:hAnsi="Arial" w:cs="Arial"/>
          <w:color w:val="1D1D1B"/>
          <w:sz w:val="22"/>
          <w:szCs w:val="22"/>
        </w:rPr>
      </w:pPr>
      <w:r w:rsidRPr="00475926">
        <w:rPr>
          <w:rFonts w:ascii="Arial" w:hAnsi="Arial" w:cs="Arial"/>
          <w:color w:val="1D1D1B"/>
          <w:sz w:val="22"/>
          <w:szCs w:val="22"/>
        </w:rPr>
        <w:t>A New Zealand regulatory</w:t>
      </w:r>
      <w:r w:rsidR="008C64E7" w:rsidRPr="00475926">
        <w:rPr>
          <w:rFonts w:ascii="Arial" w:hAnsi="Arial" w:cs="Arial"/>
          <w:color w:val="1D1D1B"/>
          <w:sz w:val="22"/>
          <w:szCs w:val="22"/>
        </w:rPr>
        <w:t xml:space="preserve"> </w:t>
      </w:r>
      <w:r w:rsidR="00C17C43" w:rsidRPr="00475926">
        <w:rPr>
          <w:rFonts w:ascii="Arial" w:hAnsi="Arial" w:cs="Arial"/>
          <w:color w:val="1D1D1B"/>
          <w:sz w:val="22"/>
          <w:szCs w:val="22"/>
        </w:rPr>
        <w:t xml:space="preserve">scheme </w:t>
      </w:r>
      <w:r w:rsidR="00F610C5" w:rsidRPr="00475926">
        <w:rPr>
          <w:rFonts w:ascii="Arial" w:hAnsi="Arial" w:cs="Arial"/>
          <w:color w:val="1D1D1B"/>
          <w:sz w:val="22"/>
          <w:szCs w:val="22"/>
        </w:rPr>
        <w:t>would be based on the European Essential Requirements</w:t>
      </w:r>
      <w:r w:rsidR="008C64E7" w:rsidRPr="00475926">
        <w:rPr>
          <w:rFonts w:ascii="Arial" w:hAnsi="Arial" w:cs="Arial"/>
          <w:color w:val="1D1D1B"/>
          <w:sz w:val="22"/>
          <w:szCs w:val="22"/>
        </w:rPr>
        <w:t xml:space="preserve"> and have the authority to perform similar</w:t>
      </w:r>
      <w:r w:rsidRPr="00475926">
        <w:rPr>
          <w:rFonts w:ascii="Arial" w:hAnsi="Arial" w:cs="Arial"/>
          <w:color w:val="1D1D1B"/>
          <w:sz w:val="22"/>
          <w:szCs w:val="22"/>
        </w:rPr>
        <w:t xml:space="preserve"> to a European Competent Authority:</w:t>
      </w:r>
    </w:p>
    <w:p w14:paraId="362B9BB7" w14:textId="77777777" w:rsidR="005F26A1" w:rsidRPr="00475926" w:rsidRDefault="005F26A1" w:rsidP="004C10C6">
      <w:pPr>
        <w:pStyle w:val="ListParagraph"/>
        <w:numPr>
          <w:ilvl w:val="0"/>
          <w:numId w:val="4"/>
        </w:numPr>
        <w:autoSpaceDE w:val="0"/>
        <w:autoSpaceDN w:val="0"/>
        <w:adjustRightInd w:val="0"/>
        <w:spacing w:after="120"/>
        <w:rPr>
          <w:rFonts w:ascii="Arial" w:hAnsi="Arial" w:cs="Arial"/>
          <w:color w:val="1D1D1B"/>
          <w:sz w:val="22"/>
          <w:szCs w:val="22"/>
        </w:rPr>
      </w:pPr>
      <w:r w:rsidRPr="00475926">
        <w:rPr>
          <w:rFonts w:ascii="Arial" w:hAnsi="Arial" w:cs="Arial"/>
          <w:color w:val="1D1D1B"/>
          <w:sz w:val="22"/>
          <w:szCs w:val="22"/>
        </w:rPr>
        <w:t>enforces regulations by investigating allegations received about possible non-compliance with the</w:t>
      </w:r>
      <w:r w:rsidR="00DE5DC5" w:rsidRPr="00475926">
        <w:rPr>
          <w:rFonts w:ascii="Arial" w:hAnsi="Arial" w:cs="Arial"/>
          <w:color w:val="1D1D1B"/>
          <w:sz w:val="22"/>
          <w:szCs w:val="22"/>
        </w:rPr>
        <w:t xml:space="preserve"> </w:t>
      </w:r>
      <w:r w:rsidRPr="00475926">
        <w:rPr>
          <w:rFonts w:ascii="Arial" w:hAnsi="Arial" w:cs="Arial"/>
          <w:color w:val="1D1D1B"/>
          <w:sz w:val="22"/>
          <w:szCs w:val="22"/>
        </w:rPr>
        <w:t>regulations</w:t>
      </w:r>
    </w:p>
    <w:p w14:paraId="4201989E" w14:textId="77777777" w:rsidR="005F26A1" w:rsidRPr="00475926" w:rsidRDefault="005F26A1" w:rsidP="004C10C6">
      <w:pPr>
        <w:pStyle w:val="ListParagraph"/>
        <w:numPr>
          <w:ilvl w:val="0"/>
          <w:numId w:val="4"/>
        </w:numPr>
        <w:autoSpaceDE w:val="0"/>
        <w:autoSpaceDN w:val="0"/>
        <w:adjustRightInd w:val="0"/>
        <w:spacing w:after="120"/>
        <w:rPr>
          <w:rFonts w:ascii="Arial" w:hAnsi="Arial" w:cs="Arial"/>
          <w:color w:val="1D1D1B"/>
          <w:sz w:val="22"/>
          <w:szCs w:val="22"/>
        </w:rPr>
      </w:pPr>
      <w:r w:rsidRPr="00475926">
        <w:rPr>
          <w:rFonts w:ascii="Arial" w:hAnsi="Arial" w:cs="Arial"/>
          <w:color w:val="1D1D1B"/>
          <w:sz w:val="22"/>
          <w:szCs w:val="22"/>
        </w:rPr>
        <w:t>investigates post-market surveillance reports received from device manufacturers, users and the public</w:t>
      </w:r>
    </w:p>
    <w:p w14:paraId="5248B6C5" w14:textId="77777777" w:rsidR="005F26A1" w:rsidRPr="00475926" w:rsidRDefault="005F26A1" w:rsidP="004C10C6">
      <w:pPr>
        <w:pStyle w:val="ListParagraph"/>
        <w:numPr>
          <w:ilvl w:val="0"/>
          <w:numId w:val="4"/>
        </w:numPr>
        <w:spacing w:after="120"/>
        <w:rPr>
          <w:rFonts w:ascii="Arial" w:hAnsi="Arial" w:cs="Arial"/>
          <w:color w:val="1D1D1B"/>
          <w:sz w:val="22"/>
          <w:szCs w:val="22"/>
        </w:rPr>
      </w:pPr>
      <w:r w:rsidRPr="00475926">
        <w:rPr>
          <w:rFonts w:ascii="Arial" w:hAnsi="Arial" w:cs="Arial"/>
          <w:color w:val="1D1D1B"/>
          <w:sz w:val="22"/>
          <w:szCs w:val="22"/>
        </w:rPr>
        <w:t>maintains a register of manufacturers</w:t>
      </w:r>
      <w:r w:rsidR="00DE5DC5" w:rsidRPr="00475926">
        <w:rPr>
          <w:rFonts w:ascii="Arial" w:hAnsi="Arial" w:cs="Arial"/>
          <w:color w:val="1D1D1B"/>
          <w:sz w:val="22"/>
          <w:szCs w:val="22"/>
        </w:rPr>
        <w:t xml:space="preserve"> and distributors</w:t>
      </w:r>
    </w:p>
    <w:p w14:paraId="4A988772" w14:textId="77777777" w:rsidR="005F26A1" w:rsidRPr="00475926" w:rsidRDefault="008C64E7" w:rsidP="00FA04B5">
      <w:pPr>
        <w:autoSpaceDE w:val="0"/>
        <w:autoSpaceDN w:val="0"/>
        <w:adjustRightInd w:val="0"/>
        <w:spacing w:after="120"/>
        <w:rPr>
          <w:rFonts w:ascii="Arial" w:hAnsi="Arial" w:cs="Arial"/>
          <w:color w:val="1D1D1B"/>
          <w:sz w:val="22"/>
          <w:szCs w:val="22"/>
        </w:rPr>
      </w:pPr>
      <w:r w:rsidRPr="00475926">
        <w:rPr>
          <w:rFonts w:ascii="Arial" w:hAnsi="Arial" w:cs="Arial"/>
          <w:color w:val="1D1D1B"/>
          <w:sz w:val="22"/>
          <w:szCs w:val="22"/>
        </w:rPr>
        <w:t xml:space="preserve">How the new regulatory agency is funded will be crucial for suppliers of medical devices. The New Zealand medical device sector would be firmly against a therapeutic agency being fully funded by industry. </w:t>
      </w:r>
      <w:r w:rsidR="005F26A1" w:rsidRPr="00475926">
        <w:rPr>
          <w:rFonts w:ascii="Arial" w:hAnsi="Arial" w:cs="Arial"/>
          <w:color w:val="1D1D1B"/>
          <w:sz w:val="22"/>
          <w:szCs w:val="22"/>
        </w:rPr>
        <w:t xml:space="preserve">The major </w:t>
      </w:r>
      <w:r w:rsidRPr="00475926">
        <w:rPr>
          <w:rFonts w:ascii="Arial" w:hAnsi="Arial" w:cs="Arial"/>
          <w:color w:val="1D1D1B"/>
          <w:sz w:val="22"/>
          <w:szCs w:val="22"/>
        </w:rPr>
        <w:t xml:space="preserve">arguments against full industry funding relate to the general problem of </w:t>
      </w:r>
      <w:r w:rsidR="005F26A1" w:rsidRPr="00475926">
        <w:rPr>
          <w:rFonts w:ascii="Arial" w:hAnsi="Arial" w:cs="Arial"/>
          <w:color w:val="1D1D1B"/>
          <w:sz w:val="22"/>
          <w:szCs w:val="22"/>
        </w:rPr>
        <w:t xml:space="preserve">excessive costs </w:t>
      </w:r>
      <w:r w:rsidRPr="00475926">
        <w:rPr>
          <w:rFonts w:ascii="Arial" w:hAnsi="Arial" w:cs="Arial"/>
          <w:color w:val="1D1D1B"/>
          <w:sz w:val="22"/>
          <w:szCs w:val="22"/>
        </w:rPr>
        <w:t xml:space="preserve">in relation to benefits under a </w:t>
      </w:r>
      <w:r w:rsidR="005F26A1" w:rsidRPr="00475926">
        <w:rPr>
          <w:rFonts w:ascii="Arial" w:hAnsi="Arial" w:cs="Arial"/>
          <w:color w:val="1D1D1B"/>
          <w:sz w:val="22"/>
          <w:szCs w:val="22"/>
        </w:rPr>
        <w:t>statutory monopoly with mandatory purchase.</w:t>
      </w:r>
      <w:r w:rsidRPr="00475926">
        <w:rPr>
          <w:rFonts w:ascii="Arial" w:hAnsi="Arial" w:cs="Arial"/>
          <w:color w:val="1D1D1B"/>
          <w:sz w:val="22"/>
          <w:szCs w:val="22"/>
        </w:rPr>
        <w:t xml:space="preserve"> This could be a recipe for cost excesses and </w:t>
      </w:r>
      <w:r w:rsidR="005F26A1" w:rsidRPr="00475926">
        <w:rPr>
          <w:rFonts w:ascii="Arial" w:hAnsi="Arial" w:cs="Arial"/>
          <w:color w:val="1D1D1B"/>
          <w:sz w:val="22"/>
          <w:szCs w:val="22"/>
        </w:rPr>
        <w:t>mediocre performance.</w:t>
      </w:r>
      <w:r w:rsidRPr="00475926">
        <w:rPr>
          <w:rFonts w:ascii="Arial" w:hAnsi="Arial" w:cs="Arial"/>
          <w:color w:val="1D1D1B"/>
          <w:sz w:val="22"/>
          <w:szCs w:val="22"/>
        </w:rPr>
        <w:t xml:space="preserve"> The </w:t>
      </w:r>
      <w:r w:rsidR="005F26A1" w:rsidRPr="00475926">
        <w:rPr>
          <w:rFonts w:ascii="Arial" w:hAnsi="Arial" w:cs="Arial"/>
          <w:color w:val="1D1D1B"/>
          <w:sz w:val="22"/>
          <w:szCs w:val="22"/>
        </w:rPr>
        <w:t>solution is</w:t>
      </w:r>
      <w:r w:rsidR="00F610C5" w:rsidRPr="00475926">
        <w:rPr>
          <w:rFonts w:ascii="Arial" w:hAnsi="Arial" w:cs="Arial"/>
          <w:color w:val="1D1D1B"/>
          <w:sz w:val="22"/>
          <w:szCs w:val="22"/>
        </w:rPr>
        <w:t xml:space="preserve"> to introduce performance related incentives</w:t>
      </w:r>
      <w:r w:rsidRPr="00475926">
        <w:rPr>
          <w:rFonts w:ascii="Arial" w:hAnsi="Arial" w:cs="Arial"/>
          <w:color w:val="1D1D1B"/>
          <w:sz w:val="22"/>
          <w:szCs w:val="22"/>
        </w:rPr>
        <w:t xml:space="preserve"> where </w:t>
      </w:r>
      <w:r w:rsidR="005F26A1" w:rsidRPr="00475926">
        <w:rPr>
          <w:rFonts w:ascii="Arial" w:hAnsi="Arial" w:cs="Arial"/>
          <w:color w:val="1D1D1B"/>
          <w:sz w:val="22"/>
          <w:szCs w:val="22"/>
        </w:rPr>
        <w:t>possible and to e</w:t>
      </w:r>
      <w:r w:rsidRPr="00475926">
        <w:rPr>
          <w:rFonts w:ascii="Arial" w:hAnsi="Arial" w:cs="Arial"/>
          <w:color w:val="1D1D1B"/>
          <w:sz w:val="22"/>
          <w:szCs w:val="22"/>
        </w:rPr>
        <w:t xml:space="preserve">nsure that costs are related to </w:t>
      </w:r>
      <w:r w:rsidR="005F26A1" w:rsidRPr="00475926">
        <w:rPr>
          <w:rFonts w:ascii="Arial" w:hAnsi="Arial" w:cs="Arial"/>
          <w:color w:val="1D1D1B"/>
          <w:sz w:val="22"/>
          <w:szCs w:val="22"/>
        </w:rPr>
        <w:t>efficient cost and marginal benefit –</w:t>
      </w:r>
      <w:r w:rsidRPr="00475926">
        <w:rPr>
          <w:rFonts w:ascii="Arial" w:hAnsi="Arial" w:cs="Arial"/>
          <w:color w:val="1D1D1B"/>
          <w:sz w:val="22"/>
          <w:szCs w:val="22"/>
        </w:rPr>
        <w:t xml:space="preserve"> the lowest </w:t>
      </w:r>
      <w:r w:rsidR="005F26A1" w:rsidRPr="00475926">
        <w:rPr>
          <w:rFonts w:ascii="Arial" w:hAnsi="Arial" w:cs="Arial"/>
          <w:color w:val="1D1D1B"/>
          <w:sz w:val="22"/>
          <w:szCs w:val="22"/>
        </w:rPr>
        <w:t>cost that the s</w:t>
      </w:r>
      <w:r w:rsidRPr="00475926">
        <w:rPr>
          <w:rFonts w:ascii="Arial" w:hAnsi="Arial" w:cs="Arial"/>
          <w:color w:val="1D1D1B"/>
          <w:sz w:val="22"/>
          <w:szCs w:val="22"/>
        </w:rPr>
        <w:t xml:space="preserve">ervice can be provided under an </w:t>
      </w:r>
      <w:r w:rsidR="005F26A1" w:rsidRPr="00475926">
        <w:rPr>
          <w:rFonts w:ascii="Arial" w:hAnsi="Arial" w:cs="Arial"/>
          <w:color w:val="1D1D1B"/>
          <w:sz w:val="22"/>
          <w:szCs w:val="22"/>
        </w:rPr>
        <w:t>efficient system.</w:t>
      </w:r>
    </w:p>
    <w:p w14:paraId="5890FF1F" w14:textId="77777777" w:rsidR="008C64E7" w:rsidRPr="00FA04B5" w:rsidRDefault="008C64E7" w:rsidP="00FA04B5">
      <w:pPr>
        <w:autoSpaceDE w:val="0"/>
        <w:autoSpaceDN w:val="0"/>
        <w:adjustRightInd w:val="0"/>
        <w:spacing w:after="120"/>
        <w:rPr>
          <w:rFonts w:ascii="Arial" w:hAnsi="Arial" w:cs="Arial"/>
          <w:color w:val="1D1D1B"/>
        </w:rPr>
      </w:pPr>
    </w:p>
    <w:p w14:paraId="4D9838E1" w14:textId="77777777" w:rsidR="006733C9" w:rsidRPr="00FA04B5" w:rsidRDefault="00F4338C" w:rsidP="00FA04B5">
      <w:pPr>
        <w:spacing w:after="120"/>
        <w:rPr>
          <w:rFonts w:ascii="Arial" w:hAnsi="Arial" w:cs="Arial"/>
          <w:b/>
        </w:rPr>
      </w:pPr>
      <w:r w:rsidRPr="00FA04B5">
        <w:rPr>
          <w:rFonts w:ascii="Arial" w:hAnsi="Arial" w:cs="Arial"/>
          <w:b/>
        </w:rPr>
        <w:t>2</w:t>
      </w:r>
      <w:r w:rsidRPr="00FA04B5">
        <w:rPr>
          <w:rFonts w:ascii="Arial" w:hAnsi="Arial" w:cs="Arial"/>
          <w:b/>
        </w:rPr>
        <w:tab/>
      </w:r>
      <w:r w:rsidR="006733C9" w:rsidRPr="00475926">
        <w:rPr>
          <w:rFonts w:ascii="Arial" w:hAnsi="Arial" w:cs="Arial"/>
          <w:b/>
          <w:sz w:val="24"/>
          <w:szCs w:val="24"/>
        </w:rPr>
        <w:t>About the Medical Technology Association of New Zealand (MTANZ)</w:t>
      </w:r>
    </w:p>
    <w:p w14:paraId="63CAE9CD" w14:textId="77777777" w:rsidR="00504589" w:rsidRPr="00475926" w:rsidRDefault="00504589" w:rsidP="00FA04B5">
      <w:pPr>
        <w:autoSpaceDE w:val="0"/>
        <w:autoSpaceDN w:val="0"/>
        <w:adjustRightInd w:val="0"/>
        <w:spacing w:after="120"/>
        <w:rPr>
          <w:rFonts w:ascii="Arial" w:hAnsi="Arial" w:cs="Arial"/>
          <w:color w:val="000000"/>
          <w:sz w:val="22"/>
          <w:szCs w:val="22"/>
        </w:rPr>
      </w:pPr>
      <w:r w:rsidRPr="00475926">
        <w:rPr>
          <w:rFonts w:ascii="Arial" w:hAnsi="Arial" w:cs="Arial"/>
          <w:color w:val="000000"/>
          <w:sz w:val="22"/>
          <w:szCs w:val="22"/>
        </w:rPr>
        <w:t>The Medical Technology Association of New Zealand (MTANZ) was first established in 1979 and is the only industry body representing medical technology manufacturers, importers and distributors of medical devices in New Zealand.</w:t>
      </w:r>
    </w:p>
    <w:p w14:paraId="7A78440C" w14:textId="77777777" w:rsidR="00504589" w:rsidRPr="00475926" w:rsidRDefault="00504589" w:rsidP="00FA04B5">
      <w:pPr>
        <w:autoSpaceDE w:val="0"/>
        <w:autoSpaceDN w:val="0"/>
        <w:adjustRightInd w:val="0"/>
        <w:spacing w:after="120"/>
        <w:rPr>
          <w:rFonts w:ascii="Arial" w:hAnsi="Arial" w:cs="Arial"/>
          <w:color w:val="000000"/>
          <w:sz w:val="22"/>
          <w:szCs w:val="22"/>
        </w:rPr>
      </w:pPr>
      <w:r w:rsidRPr="00475926">
        <w:rPr>
          <w:rFonts w:ascii="Arial" w:hAnsi="Arial" w:cs="Arial"/>
          <w:color w:val="000000"/>
          <w:sz w:val="22"/>
          <w:szCs w:val="22"/>
        </w:rPr>
        <w:t>MTANZ aims to increase awareness of the medical technology industry in New Zealand and to ensure patients benefit from the innovative medical devices available today and into the future. MTANZ supports New Zealand researchers and manufacturers in developing medical devices for international markets.</w:t>
      </w:r>
    </w:p>
    <w:p w14:paraId="72D773BF" w14:textId="77777777" w:rsidR="00504589" w:rsidRPr="00475926" w:rsidRDefault="00504589" w:rsidP="00FA04B5">
      <w:pPr>
        <w:autoSpaceDE w:val="0"/>
        <w:autoSpaceDN w:val="0"/>
        <w:adjustRightInd w:val="0"/>
        <w:spacing w:after="120"/>
        <w:rPr>
          <w:rFonts w:ascii="Arial" w:hAnsi="Arial" w:cs="Arial"/>
          <w:color w:val="000000"/>
          <w:sz w:val="22"/>
          <w:szCs w:val="22"/>
        </w:rPr>
      </w:pPr>
      <w:r w:rsidRPr="00475926">
        <w:rPr>
          <w:rFonts w:ascii="Arial" w:hAnsi="Arial" w:cs="Arial"/>
          <w:color w:val="000000"/>
          <w:sz w:val="22"/>
          <w:szCs w:val="22"/>
        </w:rPr>
        <w:t>MTANZ represents manufacturers and suppliers of medical technology used in the diagnosis, prevention, treatment and management of disease and disability. MTANZ promotes policies for a legal, regulatory and economic environment to advance access to innovative medical technologies.</w:t>
      </w:r>
    </w:p>
    <w:p w14:paraId="4E805C19" w14:textId="77777777" w:rsidR="00504589" w:rsidRPr="00FA04B5" w:rsidRDefault="00504589" w:rsidP="00FA04B5">
      <w:pPr>
        <w:spacing w:after="120"/>
        <w:rPr>
          <w:rFonts w:ascii="Arial" w:hAnsi="Arial" w:cs="Arial"/>
          <w:b/>
        </w:rPr>
      </w:pPr>
    </w:p>
    <w:p w14:paraId="2D5A12B6" w14:textId="77777777" w:rsidR="006733C9" w:rsidRPr="00FA04B5" w:rsidRDefault="00F4338C" w:rsidP="00FA04B5">
      <w:pPr>
        <w:spacing w:after="120"/>
        <w:rPr>
          <w:rFonts w:ascii="Arial" w:hAnsi="Arial" w:cs="Arial"/>
          <w:b/>
        </w:rPr>
      </w:pPr>
      <w:r w:rsidRPr="00FA04B5">
        <w:rPr>
          <w:rFonts w:ascii="Arial" w:hAnsi="Arial" w:cs="Arial"/>
          <w:b/>
        </w:rPr>
        <w:t>3</w:t>
      </w:r>
      <w:r w:rsidRPr="00FA04B5">
        <w:rPr>
          <w:rFonts w:ascii="Arial" w:hAnsi="Arial" w:cs="Arial"/>
          <w:b/>
        </w:rPr>
        <w:tab/>
      </w:r>
      <w:r w:rsidR="006733C9" w:rsidRPr="00475926">
        <w:rPr>
          <w:rFonts w:ascii="Arial" w:hAnsi="Arial" w:cs="Arial"/>
          <w:b/>
          <w:sz w:val="24"/>
          <w:szCs w:val="24"/>
        </w:rPr>
        <w:t>Aim of the paper</w:t>
      </w:r>
    </w:p>
    <w:p w14:paraId="738C8B9C" w14:textId="77777777" w:rsidR="00263102" w:rsidRPr="00475926" w:rsidRDefault="00263102" w:rsidP="00FA04B5">
      <w:pPr>
        <w:spacing w:after="120"/>
        <w:rPr>
          <w:rFonts w:ascii="Arial" w:hAnsi="Arial" w:cs="Arial"/>
          <w:sz w:val="22"/>
          <w:szCs w:val="22"/>
        </w:rPr>
      </w:pPr>
      <w:r w:rsidRPr="00475926">
        <w:rPr>
          <w:rFonts w:ascii="Arial" w:hAnsi="Arial" w:cs="Arial"/>
          <w:sz w:val="22"/>
          <w:szCs w:val="22"/>
        </w:rPr>
        <w:t xml:space="preserve">In November 2014 the Australian and New Zealand Governments agreed to cease efforts to establish a joint therapeutic products regulator. The New Zealand Government will now </w:t>
      </w:r>
      <w:r w:rsidRPr="00475926">
        <w:rPr>
          <w:rFonts w:ascii="Arial" w:hAnsi="Arial" w:cs="Arial"/>
          <w:sz w:val="22"/>
          <w:szCs w:val="22"/>
        </w:rPr>
        <w:lastRenderedPageBreak/>
        <w:t xml:space="preserve">upgrade New Zealand’s therapeutic products regulations with a comprehensive, effective and efficient regulatory scheme. </w:t>
      </w:r>
    </w:p>
    <w:p w14:paraId="71D4C20D" w14:textId="77777777" w:rsidR="00263102" w:rsidRPr="00475926" w:rsidRDefault="00263102" w:rsidP="00FA04B5">
      <w:pPr>
        <w:spacing w:after="120"/>
        <w:rPr>
          <w:rFonts w:ascii="Arial" w:hAnsi="Arial" w:cs="Arial"/>
          <w:sz w:val="22"/>
          <w:szCs w:val="22"/>
        </w:rPr>
      </w:pPr>
      <w:r w:rsidRPr="00475926">
        <w:rPr>
          <w:rFonts w:ascii="Arial" w:hAnsi="Arial" w:cs="Arial"/>
          <w:sz w:val="22"/>
          <w:szCs w:val="22"/>
        </w:rPr>
        <w:t xml:space="preserve">The paper aims to: </w:t>
      </w:r>
    </w:p>
    <w:p w14:paraId="0A255999" w14:textId="77777777" w:rsidR="00263102" w:rsidRPr="00475926" w:rsidRDefault="00724CFB" w:rsidP="004C10C6">
      <w:pPr>
        <w:pStyle w:val="ListParagraph"/>
        <w:numPr>
          <w:ilvl w:val="0"/>
          <w:numId w:val="2"/>
        </w:numPr>
        <w:spacing w:after="120"/>
        <w:rPr>
          <w:rFonts w:ascii="Arial" w:hAnsi="Arial" w:cs="Arial"/>
          <w:sz w:val="22"/>
          <w:szCs w:val="22"/>
        </w:rPr>
      </w:pPr>
      <w:r w:rsidRPr="00475926">
        <w:rPr>
          <w:rFonts w:ascii="Arial" w:hAnsi="Arial" w:cs="Arial"/>
          <w:sz w:val="22"/>
          <w:szCs w:val="22"/>
        </w:rPr>
        <w:t>Propose a model for the regulation of medical devices entering the New Zealand market</w:t>
      </w:r>
      <w:r w:rsidR="009670CC" w:rsidRPr="00475926">
        <w:rPr>
          <w:rFonts w:ascii="Arial" w:hAnsi="Arial" w:cs="Arial"/>
          <w:sz w:val="22"/>
          <w:szCs w:val="22"/>
        </w:rPr>
        <w:t xml:space="preserve"> based on inte</w:t>
      </w:r>
      <w:r w:rsidR="00F610C5" w:rsidRPr="00475926">
        <w:rPr>
          <w:rFonts w:ascii="Arial" w:hAnsi="Arial" w:cs="Arial"/>
          <w:sz w:val="22"/>
          <w:szCs w:val="22"/>
        </w:rPr>
        <w:t>rnationally recognised certifications/approvals</w:t>
      </w:r>
      <w:r w:rsidR="009670CC" w:rsidRPr="00475926">
        <w:rPr>
          <w:rFonts w:ascii="Arial" w:hAnsi="Arial" w:cs="Arial"/>
          <w:sz w:val="22"/>
          <w:szCs w:val="22"/>
        </w:rPr>
        <w:t>.</w:t>
      </w:r>
    </w:p>
    <w:p w14:paraId="55EAF336" w14:textId="77777777" w:rsidR="00724CFB" w:rsidRPr="00475926" w:rsidRDefault="00156C71" w:rsidP="004C10C6">
      <w:pPr>
        <w:pStyle w:val="ListParagraph"/>
        <w:numPr>
          <w:ilvl w:val="0"/>
          <w:numId w:val="2"/>
        </w:numPr>
        <w:spacing w:after="120"/>
        <w:rPr>
          <w:rFonts w:ascii="Arial" w:hAnsi="Arial" w:cs="Arial"/>
          <w:sz w:val="22"/>
          <w:szCs w:val="22"/>
        </w:rPr>
      </w:pPr>
      <w:r w:rsidRPr="00475926">
        <w:rPr>
          <w:rFonts w:ascii="Arial" w:hAnsi="Arial" w:cs="Arial"/>
          <w:sz w:val="22"/>
          <w:szCs w:val="22"/>
        </w:rPr>
        <w:t>Propose that a</w:t>
      </w:r>
      <w:r w:rsidR="00724CFB" w:rsidRPr="00475926">
        <w:rPr>
          <w:rFonts w:ascii="Arial" w:hAnsi="Arial" w:cs="Arial"/>
          <w:sz w:val="22"/>
          <w:szCs w:val="22"/>
        </w:rPr>
        <w:t xml:space="preserve"> regul</w:t>
      </w:r>
      <w:r w:rsidRPr="00475926">
        <w:rPr>
          <w:rFonts w:ascii="Arial" w:hAnsi="Arial" w:cs="Arial"/>
          <w:sz w:val="22"/>
          <w:szCs w:val="22"/>
        </w:rPr>
        <w:t xml:space="preserve">atory scheme supports quality, safety and </w:t>
      </w:r>
      <w:r w:rsidR="00724CFB" w:rsidRPr="00475926">
        <w:rPr>
          <w:rFonts w:ascii="Arial" w:hAnsi="Arial" w:cs="Arial"/>
          <w:sz w:val="22"/>
          <w:szCs w:val="22"/>
        </w:rPr>
        <w:t>performance of medical devices supplied in New Zealand.</w:t>
      </w:r>
    </w:p>
    <w:p w14:paraId="31813409" w14:textId="77777777" w:rsidR="008C64E7" w:rsidRPr="00475926" w:rsidRDefault="00724CFB" w:rsidP="004C10C6">
      <w:pPr>
        <w:pStyle w:val="ListParagraph"/>
        <w:numPr>
          <w:ilvl w:val="0"/>
          <w:numId w:val="2"/>
        </w:numPr>
        <w:spacing w:after="120"/>
        <w:rPr>
          <w:rFonts w:ascii="Arial" w:hAnsi="Arial" w:cs="Arial"/>
          <w:sz w:val="22"/>
          <w:szCs w:val="22"/>
        </w:rPr>
      </w:pPr>
      <w:r w:rsidRPr="00475926">
        <w:rPr>
          <w:rFonts w:ascii="Arial" w:hAnsi="Arial" w:cs="Arial"/>
          <w:sz w:val="22"/>
          <w:szCs w:val="22"/>
        </w:rPr>
        <w:t xml:space="preserve">Propose a regulatory scheme that demonstrates efficiency costs. </w:t>
      </w:r>
    </w:p>
    <w:p w14:paraId="44B619CE" w14:textId="77777777" w:rsidR="00032147" w:rsidRPr="00475926" w:rsidRDefault="00032147" w:rsidP="004C10C6">
      <w:pPr>
        <w:pStyle w:val="ListParagraph"/>
        <w:numPr>
          <w:ilvl w:val="0"/>
          <w:numId w:val="2"/>
        </w:numPr>
        <w:spacing w:after="120"/>
        <w:rPr>
          <w:rFonts w:ascii="Arial" w:hAnsi="Arial" w:cs="Arial"/>
          <w:sz w:val="22"/>
          <w:szCs w:val="22"/>
        </w:rPr>
      </w:pPr>
      <w:r w:rsidRPr="00475926">
        <w:rPr>
          <w:rFonts w:ascii="Arial" w:hAnsi="Arial" w:cs="Arial"/>
          <w:sz w:val="22"/>
          <w:szCs w:val="22"/>
        </w:rPr>
        <w:t xml:space="preserve">Propose a regulatory scheme that </w:t>
      </w:r>
      <w:r w:rsidR="000A182E" w:rsidRPr="00475926">
        <w:rPr>
          <w:rFonts w:ascii="Arial" w:hAnsi="Arial" w:cs="Arial"/>
          <w:sz w:val="22"/>
          <w:szCs w:val="22"/>
        </w:rPr>
        <w:t xml:space="preserve">fosters and </w:t>
      </w:r>
      <w:r w:rsidRPr="00475926">
        <w:rPr>
          <w:rFonts w:ascii="Arial" w:hAnsi="Arial" w:cs="Arial"/>
          <w:sz w:val="22"/>
          <w:szCs w:val="22"/>
        </w:rPr>
        <w:t xml:space="preserve">supports </w:t>
      </w:r>
      <w:r w:rsidR="000A182E" w:rsidRPr="00475926">
        <w:rPr>
          <w:rFonts w:ascii="Arial" w:hAnsi="Arial" w:cs="Arial"/>
          <w:sz w:val="22"/>
          <w:szCs w:val="22"/>
        </w:rPr>
        <w:t xml:space="preserve">innovation in </w:t>
      </w:r>
      <w:r w:rsidRPr="00475926">
        <w:rPr>
          <w:rFonts w:ascii="Arial" w:hAnsi="Arial" w:cs="Arial"/>
          <w:sz w:val="22"/>
          <w:szCs w:val="22"/>
        </w:rPr>
        <w:t>research, development and manufacture of New Zealand medical technology.</w:t>
      </w:r>
    </w:p>
    <w:p w14:paraId="1908DA31" w14:textId="77777777" w:rsidR="00242A4A" w:rsidRPr="00032147" w:rsidRDefault="00242A4A" w:rsidP="00242A4A">
      <w:pPr>
        <w:pStyle w:val="ListParagraph"/>
        <w:spacing w:after="120"/>
        <w:ind w:left="1080"/>
        <w:rPr>
          <w:rFonts w:ascii="Arial" w:hAnsi="Arial" w:cs="Arial"/>
        </w:rPr>
      </w:pPr>
    </w:p>
    <w:p w14:paraId="03A741ED" w14:textId="77777777" w:rsidR="00263102" w:rsidRPr="00475926" w:rsidRDefault="00F4338C" w:rsidP="00FA04B5">
      <w:pPr>
        <w:spacing w:after="120"/>
        <w:rPr>
          <w:rFonts w:ascii="Arial" w:hAnsi="Arial" w:cs="Arial"/>
          <w:b/>
          <w:sz w:val="24"/>
          <w:szCs w:val="24"/>
        </w:rPr>
      </w:pPr>
      <w:r w:rsidRPr="00FA04B5">
        <w:rPr>
          <w:rFonts w:ascii="Arial" w:hAnsi="Arial" w:cs="Arial"/>
          <w:b/>
        </w:rPr>
        <w:t>4</w:t>
      </w:r>
      <w:r w:rsidRPr="00FA04B5">
        <w:rPr>
          <w:rFonts w:ascii="Arial" w:hAnsi="Arial" w:cs="Arial"/>
          <w:b/>
        </w:rPr>
        <w:tab/>
      </w:r>
      <w:r w:rsidR="00263102" w:rsidRPr="00475926">
        <w:rPr>
          <w:rFonts w:ascii="Arial" w:hAnsi="Arial" w:cs="Arial"/>
          <w:b/>
          <w:sz w:val="24"/>
          <w:szCs w:val="24"/>
        </w:rPr>
        <w:t>The current NZ regulatory requirements for medical devices</w:t>
      </w:r>
    </w:p>
    <w:p w14:paraId="4298D672" w14:textId="77777777" w:rsidR="00263102" w:rsidRPr="00475926" w:rsidRDefault="00263102" w:rsidP="00FA04B5">
      <w:pPr>
        <w:spacing w:after="120"/>
        <w:rPr>
          <w:rFonts w:ascii="Arial" w:hAnsi="Arial" w:cs="Arial"/>
          <w:sz w:val="22"/>
          <w:szCs w:val="22"/>
        </w:rPr>
      </w:pPr>
      <w:r w:rsidRPr="00475926">
        <w:rPr>
          <w:rFonts w:ascii="Arial" w:hAnsi="Arial" w:cs="Arial"/>
          <w:sz w:val="22"/>
          <w:szCs w:val="22"/>
        </w:rPr>
        <w:t xml:space="preserve">Currently, all devices placed on the New Zealand market for sale are mandated by the </w:t>
      </w:r>
      <w:r w:rsidRPr="00475926">
        <w:rPr>
          <w:rFonts w:ascii="Arial" w:hAnsi="Arial" w:cs="Arial"/>
          <w:i/>
          <w:sz w:val="22"/>
          <w:szCs w:val="22"/>
        </w:rPr>
        <w:t>Medicines (Database of Medical Devices)</w:t>
      </w:r>
      <w:r w:rsidRPr="00475926">
        <w:rPr>
          <w:rFonts w:ascii="Arial" w:hAnsi="Arial" w:cs="Arial"/>
          <w:sz w:val="22"/>
          <w:szCs w:val="22"/>
        </w:rPr>
        <w:t xml:space="preserve"> </w:t>
      </w:r>
      <w:r w:rsidRPr="00475926">
        <w:rPr>
          <w:rFonts w:ascii="Arial" w:hAnsi="Arial" w:cs="Arial"/>
          <w:i/>
          <w:sz w:val="22"/>
          <w:szCs w:val="22"/>
        </w:rPr>
        <w:t xml:space="preserve">Regulations 2003 </w:t>
      </w:r>
      <w:r w:rsidRPr="00475926">
        <w:rPr>
          <w:rFonts w:ascii="Arial" w:hAnsi="Arial" w:cs="Arial"/>
          <w:sz w:val="22"/>
          <w:szCs w:val="22"/>
        </w:rPr>
        <w:t xml:space="preserve">to be “notified” to the Medsafe’s Web Assisted Notification of Devices (WAND) database within 30 days of being placed on the New Zealand market. </w:t>
      </w:r>
      <w:r w:rsidR="00F610C5" w:rsidRPr="00475926">
        <w:rPr>
          <w:rFonts w:ascii="Arial" w:hAnsi="Arial" w:cs="Arial"/>
          <w:sz w:val="22"/>
          <w:szCs w:val="22"/>
        </w:rPr>
        <w:t>The sponsor</w:t>
      </w:r>
      <w:r w:rsidRPr="00475926">
        <w:rPr>
          <w:rFonts w:ascii="Arial" w:hAnsi="Arial" w:cs="Arial"/>
          <w:sz w:val="22"/>
          <w:szCs w:val="22"/>
        </w:rPr>
        <w:t xml:space="preserve"> of the medical device must </w:t>
      </w:r>
      <w:r w:rsidR="00F610C5" w:rsidRPr="00475926">
        <w:rPr>
          <w:rFonts w:ascii="Arial" w:hAnsi="Arial" w:cs="Arial"/>
          <w:sz w:val="22"/>
          <w:szCs w:val="22"/>
        </w:rPr>
        <w:t xml:space="preserve">be a New Zealand legal entity with </w:t>
      </w:r>
      <w:r w:rsidRPr="00475926">
        <w:rPr>
          <w:rFonts w:ascii="Arial" w:hAnsi="Arial" w:cs="Arial"/>
          <w:sz w:val="22"/>
          <w:szCs w:val="22"/>
        </w:rPr>
        <w:t xml:space="preserve">a </w:t>
      </w:r>
      <w:r w:rsidR="00F610C5" w:rsidRPr="00475926">
        <w:rPr>
          <w:rFonts w:ascii="Arial" w:hAnsi="Arial" w:cs="Arial"/>
          <w:sz w:val="22"/>
          <w:szCs w:val="22"/>
        </w:rPr>
        <w:t>physical address in New Zealand</w:t>
      </w:r>
      <w:r w:rsidRPr="00475926">
        <w:rPr>
          <w:rFonts w:ascii="Arial" w:hAnsi="Arial" w:cs="Arial"/>
          <w:sz w:val="22"/>
          <w:szCs w:val="22"/>
        </w:rPr>
        <w:t>. Also, New Zealand manufactures need to be registered as “sponsors” in order to supply the New Zealand market.</w:t>
      </w:r>
    </w:p>
    <w:p w14:paraId="7C67B9D6" w14:textId="77777777" w:rsidR="00263102" w:rsidRPr="00475926" w:rsidRDefault="00263102" w:rsidP="00FA04B5">
      <w:pPr>
        <w:spacing w:after="120"/>
        <w:rPr>
          <w:rFonts w:ascii="Arial" w:hAnsi="Arial" w:cs="Arial"/>
          <w:sz w:val="22"/>
          <w:szCs w:val="22"/>
        </w:rPr>
      </w:pPr>
      <w:r w:rsidRPr="00475926">
        <w:rPr>
          <w:rFonts w:ascii="Arial" w:hAnsi="Arial" w:cs="Arial"/>
          <w:sz w:val="22"/>
          <w:szCs w:val="22"/>
        </w:rPr>
        <w:t>While this is not a registration process, the WAND database does capture devices and sponsors in the New Zealand market. The public District Health Boards (DHBs) and most private hospitals, require a supplier to provide evidence</w:t>
      </w:r>
      <w:r w:rsidR="00F610C5" w:rsidRPr="00475926">
        <w:rPr>
          <w:rFonts w:ascii="Arial" w:hAnsi="Arial" w:cs="Arial"/>
          <w:sz w:val="22"/>
          <w:szCs w:val="22"/>
        </w:rPr>
        <w:t xml:space="preserve"> through the </w:t>
      </w:r>
      <w:r w:rsidR="002F661C">
        <w:rPr>
          <w:rFonts w:ascii="Arial" w:hAnsi="Arial" w:cs="Arial"/>
          <w:sz w:val="22"/>
          <w:szCs w:val="22"/>
        </w:rPr>
        <w:t>Product Evaluators Hospitals NZ (</w:t>
      </w:r>
      <w:r w:rsidR="00F610C5" w:rsidRPr="00475926">
        <w:rPr>
          <w:rFonts w:ascii="Arial" w:hAnsi="Arial" w:cs="Arial"/>
          <w:sz w:val="22"/>
          <w:szCs w:val="22"/>
        </w:rPr>
        <w:t>PEHNZ</w:t>
      </w:r>
      <w:r w:rsidR="002F661C">
        <w:rPr>
          <w:rFonts w:ascii="Arial" w:hAnsi="Arial" w:cs="Arial"/>
          <w:sz w:val="22"/>
          <w:szCs w:val="22"/>
        </w:rPr>
        <w:t>)</w:t>
      </w:r>
      <w:r w:rsidR="00F610C5" w:rsidRPr="00475926">
        <w:rPr>
          <w:rFonts w:ascii="Arial" w:hAnsi="Arial" w:cs="Arial"/>
          <w:sz w:val="22"/>
          <w:szCs w:val="22"/>
        </w:rPr>
        <w:t xml:space="preserve"> process</w:t>
      </w:r>
      <w:r w:rsidRPr="00475926">
        <w:rPr>
          <w:rFonts w:ascii="Arial" w:hAnsi="Arial" w:cs="Arial"/>
          <w:sz w:val="22"/>
          <w:szCs w:val="22"/>
        </w:rPr>
        <w:t xml:space="preserve"> that their medical device is notified on the WAND database, has a European CE Mark, </w:t>
      </w:r>
      <w:r w:rsidR="003B1295" w:rsidRPr="00475926">
        <w:rPr>
          <w:rFonts w:ascii="Arial" w:hAnsi="Arial" w:cs="Arial"/>
          <w:sz w:val="22"/>
          <w:szCs w:val="22"/>
        </w:rPr>
        <w:t xml:space="preserve">and/or </w:t>
      </w:r>
      <w:r w:rsidRPr="00475926">
        <w:rPr>
          <w:rFonts w:ascii="Arial" w:hAnsi="Arial" w:cs="Arial"/>
          <w:sz w:val="22"/>
          <w:szCs w:val="22"/>
        </w:rPr>
        <w:t>USA F</w:t>
      </w:r>
      <w:r w:rsidR="00F610C5" w:rsidRPr="00475926">
        <w:rPr>
          <w:rFonts w:ascii="Arial" w:hAnsi="Arial" w:cs="Arial"/>
          <w:sz w:val="22"/>
          <w:szCs w:val="22"/>
        </w:rPr>
        <w:t>DA approval and/or is included in the Australian R</w:t>
      </w:r>
      <w:r w:rsidRPr="00475926">
        <w:rPr>
          <w:rFonts w:ascii="Arial" w:hAnsi="Arial" w:cs="Arial"/>
          <w:sz w:val="22"/>
          <w:szCs w:val="22"/>
        </w:rPr>
        <w:t>egister</w:t>
      </w:r>
      <w:r w:rsidR="00F610C5" w:rsidRPr="00475926">
        <w:rPr>
          <w:rFonts w:ascii="Arial" w:hAnsi="Arial" w:cs="Arial"/>
          <w:sz w:val="22"/>
          <w:szCs w:val="22"/>
        </w:rPr>
        <w:t xml:space="preserve"> of Therapeutic Goods </w:t>
      </w:r>
      <w:r w:rsidRPr="00475926">
        <w:rPr>
          <w:rFonts w:ascii="Arial" w:hAnsi="Arial" w:cs="Arial"/>
          <w:sz w:val="22"/>
          <w:szCs w:val="22"/>
        </w:rPr>
        <w:t xml:space="preserve">(ARTG) before being procured by the healthcare provider. </w:t>
      </w:r>
    </w:p>
    <w:p w14:paraId="3251528F" w14:textId="77777777" w:rsidR="00C17C43" w:rsidRPr="00475926" w:rsidRDefault="00263102" w:rsidP="00FA04B5">
      <w:pPr>
        <w:spacing w:after="120"/>
        <w:rPr>
          <w:rFonts w:ascii="Arial" w:hAnsi="Arial" w:cs="Arial"/>
          <w:sz w:val="22"/>
          <w:szCs w:val="22"/>
        </w:rPr>
      </w:pPr>
      <w:r w:rsidRPr="00475926">
        <w:rPr>
          <w:rFonts w:ascii="Arial" w:hAnsi="Arial" w:cs="Arial"/>
          <w:sz w:val="22"/>
          <w:szCs w:val="22"/>
        </w:rPr>
        <w:t>WAND could very effectively become a registration process with minimal compliance costs while still ensuring medical devices placed on the New Zealand market meet internationally recognized standards for safety and performance</w:t>
      </w:r>
      <w:r w:rsidR="00F96DF5" w:rsidRPr="00475926">
        <w:rPr>
          <w:rFonts w:ascii="Arial" w:hAnsi="Arial" w:cs="Arial"/>
          <w:sz w:val="22"/>
          <w:szCs w:val="22"/>
        </w:rPr>
        <w:t xml:space="preserve"> through the attachment of appropriate international certification/approvals evidence to WAND application</w:t>
      </w:r>
      <w:r w:rsidRPr="00475926">
        <w:rPr>
          <w:rFonts w:ascii="Arial" w:hAnsi="Arial" w:cs="Arial"/>
          <w:sz w:val="22"/>
          <w:szCs w:val="22"/>
        </w:rPr>
        <w:t xml:space="preserve">. </w:t>
      </w:r>
    </w:p>
    <w:p w14:paraId="74D90FB0" w14:textId="77777777" w:rsidR="00F711D8" w:rsidRPr="00FA04B5" w:rsidRDefault="00F711D8" w:rsidP="00FA04B5">
      <w:pPr>
        <w:spacing w:after="120"/>
        <w:rPr>
          <w:rFonts w:ascii="Arial" w:hAnsi="Arial" w:cs="Arial"/>
        </w:rPr>
      </w:pPr>
    </w:p>
    <w:p w14:paraId="463BC7AD" w14:textId="77777777" w:rsidR="006733C9" w:rsidRPr="00475926" w:rsidRDefault="00F4338C" w:rsidP="00FA04B5">
      <w:pPr>
        <w:spacing w:after="120"/>
        <w:rPr>
          <w:rFonts w:ascii="Arial" w:hAnsi="Arial" w:cs="Arial"/>
          <w:b/>
          <w:sz w:val="24"/>
          <w:szCs w:val="24"/>
        </w:rPr>
      </w:pPr>
      <w:r w:rsidRPr="00FA04B5">
        <w:rPr>
          <w:rFonts w:ascii="Arial" w:hAnsi="Arial" w:cs="Arial"/>
          <w:b/>
        </w:rPr>
        <w:t>5</w:t>
      </w:r>
      <w:r w:rsidRPr="00FA04B5">
        <w:rPr>
          <w:rFonts w:ascii="Arial" w:hAnsi="Arial" w:cs="Arial"/>
          <w:b/>
        </w:rPr>
        <w:tab/>
      </w:r>
      <w:r w:rsidR="00F610C5" w:rsidRPr="00475926">
        <w:rPr>
          <w:rFonts w:ascii="Arial" w:hAnsi="Arial" w:cs="Arial"/>
          <w:b/>
          <w:sz w:val="24"/>
          <w:szCs w:val="24"/>
        </w:rPr>
        <w:t>Background</w:t>
      </w:r>
    </w:p>
    <w:p w14:paraId="7E6811AF" w14:textId="77777777" w:rsidR="007E5FF6" w:rsidRPr="00475926" w:rsidRDefault="007E5FF6" w:rsidP="00FA04B5">
      <w:pPr>
        <w:pStyle w:val="Default"/>
        <w:spacing w:after="120" w:line="276" w:lineRule="auto"/>
        <w:rPr>
          <w:sz w:val="22"/>
          <w:szCs w:val="22"/>
        </w:rPr>
      </w:pPr>
      <w:r w:rsidRPr="00475926">
        <w:rPr>
          <w:sz w:val="22"/>
          <w:szCs w:val="22"/>
        </w:rPr>
        <w:t>T</w:t>
      </w:r>
      <w:r w:rsidR="00B54B5F" w:rsidRPr="00475926">
        <w:rPr>
          <w:sz w:val="22"/>
          <w:szCs w:val="22"/>
        </w:rPr>
        <w:t>he</w:t>
      </w:r>
      <w:r w:rsidRPr="00475926">
        <w:rPr>
          <w:sz w:val="22"/>
          <w:szCs w:val="22"/>
        </w:rPr>
        <w:t xml:space="preserve"> </w:t>
      </w:r>
      <w:r w:rsidR="00F610C5" w:rsidRPr="00475926">
        <w:rPr>
          <w:sz w:val="22"/>
          <w:szCs w:val="22"/>
        </w:rPr>
        <w:t>Global Harmonisation Task Force (</w:t>
      </w:r>
      <w:r w:rsidRPr="00475926">
        <w:rPr>
          <w:sz w:val="22"/>
          <w:szCs w:val="22"/>
        </w:rPr>
        <w:t>GHTF</w:t>
      </w:r>
      <w:r w:rsidR="00F610C5" w:rsidRPr="00475926">
        <w:rPr>
          <w:sz w:val="22"/>
          <w:szCs w:val="22"/>
        </w:rPr>
        <w:t>)</w:t>
      </w:r>
      <w:r w:rsidRPr="00475926">
        <w:rPr>
          <w:sz w:val="22"/>
          <w:szCs w:val="22"/>
        </w:rPr>
        <w:t>,</w:t>
      </w:r>
      <w:r w:rsidR="00B54B5F" w:rsidRPr="00475926">
        <w:rPr>
          <w:sz w:val="22"/>
          <w:szCs w:val="22"/>
        </w:rPr>
        <w:t xml:space="preserve"> was a voluntary group of representatives from national medical device regulatory authorities and the regulated industry</w:t>
      </w:r>
      <w:r w:rsidRPr="00475926">
        <w:rPr>
          <w:sz w:val="22"/>
          <w:szCs w:val="22"/>
        </w:rPr>
        <w:t xml:space="preserve"> founded in 1992</w:t>
      </w:r>
      <w:r w:rsidR="00B54B5F" w:rsidRPr="00475926">
        <w:rPr>
          <w:sz w:val="22"/>
          <w:szCs w:val="22"/>
        </w:rPr>
        <w:t xml:space="preserve">. At its inception GHTF was comprised of representatives from five founding members (Australia, Canada, European Union, Japan and United States), each of which actively regulated medical devices using their own unique regulatory framework. </w:t>
      </w:r>
      <w:r w:rsidRPr="00475926">
        <w:rPr>
          <w:sz w:val="22"/>
          <w:szCs w:val="22"/>
        </w:rPr>
        <w:t>The GHTF was established to address global issues:</w:t>
      </w:r>
    </w:p>
    <w:p w14:paraId="797B5E9B" w14:textId="77777777" w:rsidR="007E5FF6" w:rsidRPr="00475926" w:rsidRDefault="007E5FF6" w:rsidP="00FA04B5">
      <w:pPr>
        <w:numPr>
          <w:ilvl w:val="0"/>
          <w:numId w:val="1"/>
        </w:numPr>
        <w:spacing w:after="120"/>
        <w:rPr>
          <w:rFonts w:ascii="Arial" w:hAnsi="Arial" w:cs="Arial"/>
          <w:sz w:val="22"/>
          <w:szCs w:val="22"/>
        </w:rPr>
      </w:pPr>
      <w:r w:rsidRPr="00475926">
        <w:rPr>
          <w:rFonts w:ascii="Arial" w:hAnsi="Arial" w:cs="Arial"/>
          <w:sz w:val="22"/>
          <w:szCs w:val="22"/>
        </w:rPr>
        <w:t>The need to harmonise national standards in order to minimize regulatory barriers</w:t>
      </w:r>
    </w:p>
    <w:p w14:paraId="0CE96037" w14:textId="77777777" w:rsidR="007E5FF6" w:rsidRPr="00475926" w:rsidRDefault="007E5FF6" w:rsidP="00FA04B5">
      <w:pPr>
        <w:numPr>
          <w:ilvl w:val="0"/>
          <w:numId w:val="1"/>
        </w:numPr>
        <w:spacing w:after="120"/>
        <w:rPr>
          <w:rFonts w:ascii="Arial" w:hAnsi="Arial" w:cs="Arial"/>
          <w:sz w:val="22"/>
          <w:szCs w:val="22"/>
        </w:rPr>
      </w:pPr>
      <w:r w:rsidRPr="00475926">
        <w:rPr>
          <w:rFonts w:ascii="Arial" w:hAnsi="Arial" w:cs="Arial"/>
          <w:sz w:val="22"/>
          <w:szCs w:val="22"/>
        </w:rPr>
        <w:t>Facilitate trade and improve access to new technologies</w:t>
      </w:r>
    </w:p>
    <w:p w14:paraId="701CD3DA" w14:textId="77777777" w:rsidR="007E5FF6" w:rsidRPr="00475926" w:rsidRDefault="007E5FF6" w:rsidP="00FA04B5">
      <w:pPr>
        <w:numPr>
          <w:ilvl w:val="0"/>
          <w:numId w:val="1"/>
        </w:numPr>
        <w:spacing w:after="120"/>
        <w:rPr>
          <w:rFonts w:ascii="Arial" w:hAnsi="Arial" w:cs="Arial"/>
          <w:sz w:val="22"/>
          <w:szCs w:val="22"/>
        </w:rPr>
      </w:pPr>
      <w:r w:rsidRPr="00475926">
        <w:rPr>
          <w:rFonts w:ascii="Arial" w:hAnsi="Arial" w:cs="Arial"/>
          <w:sz w:val="22"/>
          <w:szCs w:val="22"/>
        </w:rPr>
        <w:t>Reduce the cost of implementing regulations for Governments and local industry</w:t>
      </w:r>
    </w:p>
    <w:p w14:paraId="1CF8430A" w14:textId="77777777" w:rsidR="00B54B5F" w:rsidRPr="00FA04B5" w:rsidRDefault="007E5FF6" w:rsidP="00FA04B5">
      <w:pPr>
        <w:pStyle w:val="Default"/>
        <w:spacing w:after="120" w:line="276" w:lineRule="auto"/>
        <w:rPr>
          <w:sz w:val="22"/>
          <w:szCs w:val="22"/>
        </w:rPr>
      </w:pPr>
      <w:r w:rsidRPr="00475926">
        <w:rPr>
          <w:sz w:val="22"/>
          <w:szCs w:val="22"/>
        </w:rPr>
        <w:t xml:space="preserve">The purpose of GHTF was to </w:t>
      </w:r>
      <w:r w:rsidR="00B54B5F" w:rsidRPr="00475926">
        <w:rPr>
          <w:sz w:val="22"/>
          <w:szCs w:val="22"/>
        </w:rPr>
        <w:t>encourage convergence in regulatory practices related to ensuring the safety, effectiveness/performance and qualit</w:t>
      </w:r>
      <w:r w:rsidR="00263102" w:rsidRPr="00475926">
        <w:rPr>
          <w:sz w:val="22"/>
          <w:szCs w:val="22"/>
        </w:rPr>
        <w:t xml:space="preserve">y of medical devices, promoting </w:t>
      </w:r>
      <w:r w:rsidR="00B54B5F" w:rsidRPr="00475926">
        <w:rPr>
          <w:sz w:val="22"/>
          <w:szCs w:val="22"/>
        </w:rPr>
        <w:t>technological innovation and facilitating international trade, and the primary way in which this</w:t>
      </w:r>
      <w:r w:rsidR="00B54B5F" w:rsidRPr="00FA04B5">
        <w:rPr>
          <w:sz w:val="22"/>
          <w:szCs w:val="22"/>
        </w:rPr>
        <w:t xml:space="preserve"> was accomplished was via the publication and dissemination of harmonised guidance documents on basic regulatory practices, which could be adopted/implemented by member national regulatory authorities. </w:t>
      </w:r>
    </w:p>
    <w:p w14:paraId="7B309F63" w14:textId="77777777" w:rsidR="00B54B5F" w:rsidRPr="00FA04B5" w:rsidRDefault="00B54B5F" w:rsidP="00FA04B5">
      <w:pPr>
        <w:pStyle w:val="Default"/>
        <w:spacing w:after="120" w:line="276" w:lineRule="auto"/>
        <w:rPr>
          <w:sz w:val="22"/>
          <w:szCs w:val="22"/>
        </w:rPr>
      </w:pPr>
      <w:r w:rsidRPr="00FA04B5">
        <w:rPr>
          <w:sz w:val="22"/>
          <w:szCs w:val="22"/>
        </w:rPr>
        <w:t>In late 2011 GHTF was replaced by the International Medical</w:t>
      </w:r>
      <w:r w:rsidR="007E5FF6" w:rsidRPr="00FA04B5">
        <w:rPr>
          <w:sz w:val="22"/>
          <w:szCs w:val="22"/>
        </w:rPr>
        <w:t xml:space="preserve"> Devices Regulators Forum (IMDRF)</w:t>
      </w:r>
      <w:r w:rsidRPr="00FA04B5">
        <w:rPr>
          <w:sz w:val="22"/>
          <w:szCs w:val="22"/>
        </w:rPr>
        <w:t>. IMDRF aims to accelerate the international medical dev</w:t>
      </w:r>
      <w:r w:rsidR="00F96DF5" w:rsidRPr="00FA04B5">
        <w:rPr>
          <w:sz w:val="22"/>
          <w:szCs w:val="22"/>
        </w:rPr>
        <w:t>ice regulatory</w:t>
      </w:r>
      <w:r w:rsidRPr="00FA04B5">
        <w:rPr>
          <w:sz w:val="22"/>
          <w:szCs w:val="22"/>
        </w:rPr>
        <w:t xml:space="preserve"> convergence started by GHTF. The GHTF model was fundamentally based on the European regulatory system adopted in the early 1990s, and included the following key elements: </w:t>
      </w:r>
    </w:p>
    <w:p w14:paraId="135F811E" w14:textId="77777777" w:rsidR="00B54B5F" w:rsidRPr="00FA04B5" w:rsidRDefault="00B54B5F" w:rsidP="004C10C6">
      <w:pPr>
        <w:pStyle w:val="Default"/>
        <w:numPr>
          <w:ilvl w:val="0"/>
          <w:numId w:val="7"/>
        </w:numPr>
        <w:spacing w:after="120" w:line="276" w:lineRule="auto"/>
        <w:ind w:left="851"/>
        <w:rPr>
          <w:sz w:val="22"/>
          <w:szCs w:val="22"/>
        </w:rPr>
      </w:pPr>
      <w:r w:rsidRPr="00FA04B5">
        <w:rPr>
          <w:sz w:val="22"/>
          <w:szCs w:val="22"/>
        </w:rPr>
        <w:t xml:space="preserve">Pre-market evaluation: </w:t>
      </w:r>
    </w:p>
    <w:p w14:paraId="51E921F5" w14:textId="77777777" w:rsidR="00B54B5F" w:rsidRPr="00FA04B5" w:rsidRDefault="00B54B5F" w:rsidP="004C10C6">
      <w:pPr>
        <w:pStyle w:val="Default"/>
        <w:numPr>
          <w:ilvl w:val="0"/>
          <w:numId w:val="8"/>
        </w:numPr>
        <w:spacing w:after="120" w:line="276" w:lineRule="auto"/>
        <w:rPr>
          <w:sz w:val="22"/>
          <w:szCs w:val="22"/>
        </w:rPr>
      </w:pPr>
      <w:r w:rsidRPr="00FA04B5">
        <w:rPr>
          <w:sz w:val="22"/>
          <w:szCs w:val="22"/>
        </w:rPr>
        <w:t xml:space="preserve">Definitions of key terms, including ‘medical device’ and ‘manufacturer’ </w:t>
      </w:r>
    </w:p>
    <w:p w14:paraId="77C88779" w14:textId="77777777" w:rsidR="00B54B5F" w:rsidRPr="00FA04B5" w:rsidRDefault="00B54B5F" w:rsidP="004C10C6">
      <w:pPr>
        <w:pStyle w:val="Default"/>
        <w:numPr>
          <w:ilvl w:val="0"/>
          <w:numId w:val="8"/>
        </w:numPr>
        <w:spacing w:after="120" w:line="276" w:lineRule="auto"/>
        <w:rPr>
          <w:sz w:val="22"/>
          <w:szCs w:val="22"/>
        </w:rPr>
      </w:pPr>
      <w:r w:rsidRPr="00FA04B5">
        <w:rPr>
          <w:sz w:val="22"/>
          <w:szCs w:val="22"/>
        </w:rPr>
        <w:t xml:space="preserve">Rules-based risk classification system </w:t>
      </w:r>
    </w:p>
    <w:p w14:paraId="63021422" w14:textId="77777777" w:rsidR="00B54B5F" w:rsidRPr="00FA04B5" w:rsidRDefault="00B54B5F" w:rsidP="004C10C6">
      <w:pPr>
        <w:pStyle w:val="Default"/>
        <w:numPr>
          <w:ilvl w:val="0"/>
          <w:numId w:val="8"/>
        </w:numPr>
        <w:spacing w:after="120" w:line="276" w:lineRule="auto"/>
        <w:rPr>
          <w:sz w:val="22"/>
          <w:szCs w:val="22"/>
        </w:rPr>
      </w:pPr>
      <w:r w:rsidRPr="00FA04B5">
        <w:rPr>
          <w:sz w:val="22"/>
          <w:szCs w:val="22"/>
        </w:rPr>
        <w:t xml:space="preserve">Conformity assessment procedures to be followed by manufacturers, including the requirement to implement a Quality Management System (QMS) and post-market surveillance system </w:t>
      </w:r>
    </w:p>
    <w:p w14:paraId="61CB3AD6" w14:textId="77777777" w:rsidR="00B54B5F" w:rsidRPr="00FA04B5" w:rsidRDefault="00B54B5F" w:rsidP="004C10C6">
      <w:pPr>
        <w:pStyle w:val="Default"/>
        <w:numPr>
          <w:ilvl w:val="0"/>
          <w:numId w:val="8"/>
        </w:numPr>
        <w:spacing w:after="120" w:line="276" w:lineRule="auto"/>
        <w:rPr>
          <w:sz w:val="22"/>
          <w:szCs w:val="22"/>
        </w:rPr>
      </w:pPr>
      <w:r w:rsidRPr="00FA04B5">
        <w:rPr>
          <w:sz w:val="22"/>
          <w:szCs w:val="22"/>
        </w:rPr>
        <w:t xml:space="preserve">Standards and Essential Principles to demonstrate the safety &amp; performance of medical devices, including requirements for labelling </w:t>
      </w:r>
    </w:p>
    <w:p w14:paraId="4C9CFF74" w14:textId="77777777" w:rsidR="00B54B5F" w:rsidRPr="00FA04B5" w:rsidRDefault="00B54B5F" w:rsidP="004C10C6">
      <w:pPr>
        <w:pStyle w:val="Default"/>
        <w:numPr>
          <w:ilvl w:val="0"/>
          <w:numId w:val="7"/>
        </w:numPr>
        <w:spacing w:after="120" w:line="276" w:lineRule="auto"/>
        <w:ind w:left="851"/>
        <w:rPr>
          <w:sz w:val="22"/>
          <w:szCs w:val="22"/>
        </w:rPr>
      </w:pPr>
      <w:r w:rsidRPr="00FA04B5">
        <w:rPr>
          <w:sz w:val="22"/>
          <w:szCs w:val="22"/>
        </w:rPr>
        <w:t xml:space="preserve">Post-market surveillance &amp; vigilance </w:t>
      </w:r>
    </w:p>
    <w:p w14:paraId="3E00EB91" w14:textId="77777777" w:rsidR="00B54B5F" w:rsidRPr="00FA04B5" w:rsidRDefault="00B54B5F" w:rsidP="004C10C6">
      <w:pPr>
        <w:pStyle w:val="Default"/>
        <w:numPr>
          <w:ilvl w:val="0"/>
          <w:numId w:val="7"/>
        </w:numPr>
        <w:spacing w:after="120" w:line="276" w:lineRule="auto"/>
        <w:ind w:left="851"/>
        <w:rPr>
          <w:sz w:val="22"/>
          <w:szCs w:val="22"/>
        </w:rPr>
      </w:pPr>
      <w:r w:rsidRPr="00FA04B5">
        <w:rPr>
          <w:sz w:val="22"/>
          <w:szCs w:val="22"/>
        </w:rPr>
        <w:t xml:space="preserve">QMS &amp; auditing </w:t>
      </w:r>
    </w:p>
    <w:p w14:paraId="4459FF21" w14:textId="77777777" w:rsidR="00B54B5F" w:rsidRPr="00FA04B5" w:rsidRDefault="00B54B5F" w:rsidP="004C10C6">
      <w:pPr>
        <w:pStyle w:val="Default"/>
        <w:numPr>
          <w:ilvl w:val="0"/>
          <w:numId w:val="7"/>
        </w:numPr>
        <w:spacing w:after="120" w:line="276" w:lineRule="auto"/>
        <w:ind w:left="851"/>
        <w:rPr>
          <w:sz w:val="22"/>
          <w:szCs w:val="22"/>
        </w:rPr>
      </w:pPr>
      <w:r w:rsidRPr="00FA04B5">
        <w:rPr>
          <w:sz w:val="22"/>
          <w:szCs w:val="22"/>
        </w:rPr>
        <w:t xml:space="preserve">Clinical safety &amp; performance </w:t>
      </w:r>
    </w:p>
    <w:p w14:paraId="4B9D6C94" w14:textId="77777777" w:rsidR="00B54B5F" w:rsidRPr="00FA04B5" w:rsidRDefault="00B54B5F" w:rsidP="00FA04B5">
      <w:pPr>
        <w:pStyle w:val="Default"/>
        <w:spacing w:after="120" w:line="276" w:lineRule="auto"/>
        <w:rPr>
          <w:sz w:val="22"/>
          <w:szCs w:val="22"/>
        </w:rPr>
      </w:pPr>
    </w:p>
    <w:p w14:paraId="715B5091" w14:textId="77777777" w:rsidR="00B54B5F" w:rsidRPr="00FA04B5" w:rsidRDefault="0037225F" w:rsidP="00FA04B5">
      <w:pPr>
        <w:pStyle w:val="Default"/>
        <w:spacing w:after="120" w:line="276" w:lineRule="auto"/>
        <w:rPr>
          <w:sz w:val="22"/>
          <w:szCs w:val="22"/>
        </w:rPr>
      </w:pPr>
      <w:r w:rsidRPr="00FA04B5">
        <w:rPr>
          <w:sz w:val="22"/>
          <w:szCs w:val="22"/>
        </w:rPr>
        <w:t>The GHTF system</w:t>
      </w:r>
      <w:r w:rsidR="00387DE3">
        <w:rPr>
          <w:sz w:val="22"/>
          <w:szCs w:val="22"/>
        </w:rPr>
        <w:t xml:space="preserve"> encourages</w:t>
      </w:r>
      <w:r w:rsidR="00B54B5F" w:rsidRPr="00FA04B5">
        <w:rPr>
          <w:sz w:val="22"/>
          <w:szCs w:val="22"/>
        </w:rPr>
        <w:t xml:space="preserve"> manufacturers of medical devices to apply internationally harmonised standards to the design and manufacture of their product to demonstrate compliance with the Essential Principles. This includes compliance with the international QMS standard (ISO13485), </w:t>
      </w:r>
      <w:r w:rsidR="00387DE3">
        <w:rPr>
          <w:sz w:val="22"/>
          <w:szCs w:val="22"/>
        </w:rPr>
        <w:t>for all but the lowest risk (Class I) medical devices. This standard</w:t>
      </w:r>
      <w:r w:rsidR="00B54B5F" w:rsidRPr="00FA04B5">
        <w:rPr>
          <w:sz w:val="22"/>
          <w:szCs w:val="22"/>
        </w:rPr>
        <w:t xml:space="preserve"> requires manufacturers of medical devices to establish and maintain the high quality of design, manufacturing and post-market monitoring necessary for medical technology</w:t>
      </w:r>
      <w:r w:rsidR="00387DE3">
        <w:rPr>
          <w:sz w:val="22"/>
          <w:szCs w:val="22"/>
        </w:rPr>
        <w:t>.</w:t>
      </w:r>
      <w:r w:rsidR="00B54B5F" w:rsidRPr="00FA04B5">
        <w:rPr>
          <w:sz w:val="22"/>
          <w:szCs w:val="22"/>
        </w:rPr>
        <w:t xml:space="preserve"> </w:t>
      </w:r>
    </w:p>
    <w:p w14:paraId="572EAC9B" w14:textId="77777777" w:rsidR="00B54B5F" w:rsidRPr="00FA04B5" w:rsidRDefault="007E5FF6" w:rsidP="00FA04B5">
      <w:pPr>
        <w:pStyle w:val="Default"/>
        <w:spacing w:after="120" w:line="276" w:lineRule="auto"/>
        <w:rPr>
          <w:sz w:val="22"/>
          <w:szCs w:val="22"/>
        </w:rPr>
      </w:pPr>
      <w:r w:rsidRPr="00FA04B5">
        <w:rPr>
          <w:sz w:val="22"/>
          <w:szCs w:val="22"/>
        </w:rPr>
        <w:t>A</w:t>
      </w:r>
      <w:r w:rsidR="00B54B5F" w:rsidRPr="00FA04B5">
        <w:rPr>
          <w:sz w:val="22"/>
          <w:szCs w:val="22"/>
        </w:rPr>
        <w:t xml:space="preserve">ssessment and certification of a manufacturer’s QMS occurs before manufacturers can supply their products. Continued adherence to the QMS requirements is also assessed through regular surveillance inspections. This continuous monitoring and surveillance ensures that medical devices are manufactured to their specification and continue to perform as intended. </w:t>
      </w:r>
    </w:p>
    <w:p w14:paraId="34A09FBC" w14:textId="77777777" w:rsidR="00B54B5F" w:rsidRPr="00FA04B5" w:rsidRDefault="00B54B5F" w:rsidP="00FA04B5">
      <w:pPr>
        <w:pStyle w:val="Default"/>
        <w:spacing w:after="120" w:line="276" w:lineRule="auto"/>
        <w:rPr>
          <w:sz w:val="22"/>
          <w:szCs w:val="22"/>
        </w:rPr>
      </w:pPr>
      <w:r w:rsidRPr="00FA04B5">
        <w:rPr>
          <w:sz w:val="22"/>
          <w:szCs w:val="22"/>
        </w:rPr>
        <w:t>Once conformity assessment certification has been obtained, the manufacturer signs a ‘Declaration of Conformity’ declaring that they have applied the relevant conformity assessment procedures, and that the de</w:t>
      </w:r>
      <w:r w:rsidR="007E5FF6" w:rsidRPr="00FA04B5">
        <w:rPr>
          <w:sz w:val="22"/>
          <w:szCs w:val="22"/>
        </w:rPr>
        <w:t>vices comply with GHTF</w:t>
      </w:r>
      <w:r w:rsidRPr="00FA04B5">
        <w:rPr>
          <w:sz w:val="22"/>
          <w:szCs w:val="22"/>
        </w:rPr>
        <w:t xml:space="preserve"> Essential Principles for safety and performance. </w:t>
      </w:r>
    </w:p>
    <w:p w14:paraId="111CB894" w14:textId="77777777" w:rsidR="00B54B5F" w:rsidRPr="00FA04B5" w:rsidRDefault="0037225F" w:rsidP="00FA04B5">
      <w:pPr>
        <w:pStyle w:val="Default"/>
        <w:spacing w:after="120" w:line="276" w:lineRule="auto"/>
        <w:rPr>
          <w:sz w:val="22"/>
          <w:szCs w:val="22"/>
        </w:rPr>
      </w:pPr>
      <w:r w:rsidRPr="00FA04B5">
        <w:rPr>
          <w:sz w:val="22"/>
          <w:szCs w:val="22"/>
        </w:rPr>
        <w:t>GHTF</w:t>
      </w:r>
      <w:r w:rsidR="00B54B5F" w:rsidRPr="00FA04B5">
        <w:rPr>
          <w:sz w:val="22"/>
          <w:szCs w:val="22"/>
        </w:rPr>
        <w:t xml:space="preserve"> prescribe</w:t>
      </w:r>
      <w:r w:rsidRPr="00FA04B5">
        <w:rPr>
          <w:sz w:val="22"/>
          <w:szCs w:val="22"/>
        </w:rPr>
        <w:t>s</w:t>
      </w:r>
      <w:r w:rsidR="00B54B5F" w:rsidRPr="00FA04B5">
        <w:rPr>
          <w:sz w:val="22"/>
          <w:szCs w:val="22"/>
        </w:rPr>
        <w:t xml:space="preserve"> a risk-based system for the assessment of conformity to the Essential Principles. The greater the risk carried by the product (in terms of how invasive within the human body it is, the duration of use</w:t>
      </w:r>
      <w:r w:rsidR="00F96DF5" w:rsidRPr="00FA04B5">
        <w:rPr>
          <w:sz w:val="22"/>
          <w:szCs w:val="22"/>
        </w:rPr>
        <w:t xml:space="preserve"> and the risk it poses to users</w:t>
      </w:r>
      <w:r w:rsidR="00B54B5F" w:rsidRPr="00FA04B5">
        <w:rPr>
          <w:sz w:val="22"/>
          <w:szCs w:val="22"/>
        </w:rPr>
        <w:t>), the more stringent the conformity assessment procedure that needs to be applied by the manufacturer.</w:t>
      </w:r>
    </w:p>
    <w:p w14:paraId="15E1D1F8" w14:textId="77777777" w:rsidR="0037225F" w:rsidRPr="00FA04B5" w:rsidRDefault="0037225F" w:rsidP="00FA04B5">
      <w:pPr>
        <w:pStyle w:val="Default"/>
        <w:spacing w:after="120" w:line="276" w:lineRule="auto"/>
        <w:rPr>
          <w:b/>
          <w:sz w:val="22"/>
          <w:szCs w:val="22"/>
        </w:rPr>
      </w:pPr>
      <w:r w:rsidRPr="00FA04B5">
        <w:rPr>
          <w:sz w:val="22"/>
          <w:szCs w:val="22"/>
        </w:rPr>
        <w:t>The GHTF Essential Principles are expected to form the basis of New Zealand medical device regulations.</w:t>
      </w:r>
    </w:p>
    <w:p w14:paraId="1340E685" w14:textId="77777777" w:rsidR="00B54B5F" w:rsidRPr="00FA04B5" w:rsidRDefault="00B54B5F" w:rsidP="00FA04B5">
      <w:pPr>
        <w:spacing w:after="120"/>
        <w:rPr>
          <w:rFonts w:ascii="Arial" w:hAnsi="Arial" w:cs="Arial"/>
        </w:rPr>
      </w:pPr>
    </w:p>
    <w:p w14:paraId="3BD84479" w14:textId="77777777" w:rsidR="006733C9" w:rsidRPr="00FA04B5" w:rsidRDefault="00F4338C" w:rsidP="00FA04B5">
      <w:pPr>
        <w:spacing w:after="120"/>
        <w:rPr>
          <w:rFonts w:ascii="Arial" w:hAnsi="Arial" w:cs="Arial"/>
          <w:b/>
        </w:rPr>
      </w:pPr>
      <w:r w:rsidRPr="00FA04B5">
        <w:rPr>
          <w:rFonts w:ascii="Arial" w:hAnsi="Arial" w:cs="Arial"/>
          <w:b/>
        </w:rPr>
        <w:t>6</w:t>
      </w:r>
      <w:r w:rsidRPr="00FA04B5">
        <w:rPr>
          <w:rFonts w:ascii="Arial" w:hAnsi="Arial" w:cs="Arial"/>
          <w:b/>
        </w:rPr>
        <w:tab/>
      </w:r>
      <w:r w:rsidR="006733C9" w:rsidRPr="00475926">
        <w:rPr>
          <w:rFonts w:ascii="Arial" w:hAnsi="Arial" w:cs="Arial"/>
          <w:b/>
          <w:sz w:val="24"/>
          <w:szCs w:val="24"/>
        </w:rPr>
        <w:t>EU Notified Bodies and Competent Authorities</w:t>
      </w:r>
    </w:p>
    <w:p w14:paraId="72C7ACB9" w14:textId="77777777" w:rsidR="00F301F8" w:rsidRPr="00FA04B5" w:rsidRDefault="00F301F8" w:rsidP="00FA04B5">
      <w:pPr>
        <w:pStyle w:val="Default"/>
        <w:spacing w:after="120" w:line="276" w:lineRule="auto"/>
        <w:rPr>
          <w:sz w:val="22"/>
          <w:szCs w:val="22"/>
        </w:rPr>
      </w:pPr>
      <w:r w:rsidRPr="00FA04B5">
        <w:rPr>
          <w:sz w:val="22"/>
          <w:szCs w:val="22"/>
        </w:rPr>
        <w:t>This European-style model works well to cater for the enormous diversity of life-improving medical treatments and technologies provided to patients. Europe’s current medical device legislation makes a more targeted and effective use of competent authority and regulator resources.</w:t>
      </w:r>
    </w:p>
    <w:p w14:paraId="713A1C15" w14:textId="77777777" w:rsidR="00504589" w:rsidRPr="00FA04B5" w:rsidRDefault="00504589" w:rsidP="00FA04B5">
      <w:pPr>
        <w:pStyle w:val="Default"/>
        <w:spacing w:after="120" w:line="276" w:lineRule="auto"/>
        <w:rPr>
          <w:sz w:val="22"/>
          <w:szCs w:val="22"/>
        </w:rPr>
      </w:pPr>
      <w:r w:rsidRPr="00FA04B5">
        <w:rPr>
          <w:sz w:val="22"/>
          <w:szCs w:val="22"/>
        </w:rPr>
        <w:t xml:space="preserve">In the EU conformity assessment of medical devices is undertaken by Notified Bodies (NB). These bodies are impartial, independent third-party commercial organisations specifically designated to monitor and review conformity assessment procedures applied by medical device manufacturers. Each member state of the EU has a Competent Authority (e.g. in the United Kingdom the Competent Authority is the Medicines and Healthcare Products Regulatory Agency (MHRA)), which is responsible for implementing the European laws (‘Directives’) nationally, and designating Notified Bodies (e.g. in the UK BSI and SGS are Notified Bodies) within their respective nation. </w:t>
      </w:r>
    </w:p>
    <w:p w14:paraId="5D543A9A" w14:textId="77777777" w:rsidR="00504589" w:rsidRPr="00FA04B5" w:rsidRDefault="00504589" w:rsidP="00FA04B5">
      <w:pPr>
        <w:pStyle w:val="Default"/>
        <w:spacing w:after="120" w:line="276" w:lineRule="auto"/>
        <w:rPr>
          <w:sz w:val="22"/>
          <w:szCs w:val="22"/>
        </w:rPr>
      </w:pPr>
    </w:p>
    <w:p w14:paraId="03591239" w14:textId="77777777" w:rsidR="00504589" w:rsidRPr="00FA04B5" w:rsidRDefault="00504589" w:rsidP="00FA04B5">
      <w:pPr>
        <w:pStyle w:val="Default"/>
        <w:spacing w:after="120" w:line="276" w:lineRule="auto"/>
        <w:rPr>
          <w:sz w:val="22"/>
          <w:szCs w:val="22"/>
        </w:rPr>
      </w:pPr>
      <w:r w:rsidRPr="00FA04B5">
        <w:rPr>
          <w:sz w:val="22"/>
          <w:szCs w:val="22"/>
        </w:rPr>
        <w:t xml:space="preserve">The member state Competent Authority will assess a resident Notified Body’s organisational structure, operational policies and procedures, and particularly the skills and competence of personnel involved in activities related to medical device assessments. </w:t>
      </w:r>
    </w:p>
    <w:p w14:paraId="0B1CB3E1" w14:textId="77777777" w:rsidR="00504589" w:rsidRPr="00FA04B5" w:rsidRDefault="00504589" w:rsidP="00FA04B5">
      <w:pPr>
        <w:pStyle w:val="Default"/>
        <w:spacing w:after="120" w:line="276" w:lineRule="auto"/>
        <w:rPr>
          <w:sz w:val="22"/>
          <w:szCs w:val="22"/>
        </w:rPr>
      </w:pPr>
      <w:r w:rsidRPr="00FA04B5">
        <w:rPr>
          <w:sz w:val="22"/>
          <w:szCs w:val="22"/>
        </w:rPr>
        <w:t xml:space="preserve">If a Notified Body meets the criteria, the Competent Authority recommends that it is listed on the Official Journal of the European Commission (OJ). Notification stipulates the specific directive areas in which the Notified Body has been approved (e.g. medical devices or consumer electronics). It is not uncommon for a notification to also list specific product groups, which the Notified Body is approved to assess (e.g. active medical devices or implantable medical devices). The designating Competent Authority is responsible for periodically assessing the resident Notified Bodies to ensure continued compliance with the standards for assessment. </w:t>
      </w:r>
    </w:p>
    <w:p w14:paraId="672D87CB" w14:textId="77777777" w:rsidR="00504589" w:rsidRPr="00FA04B5" w:rsidRDefault="00504589" w:rsidP="00FA04B5">
      <w:pPr>
        <w:pStyle w:val="Default"/>
        <w:spacing w:after="120" w:line="276" w:lineRule="auto"/>
        <w:rPr>
          <w:sz w:val="22"/>
          <w:szCs w:val="22"/>
        </w:rPr>
      </w:pPr>
      <w:r w:rsidRPr="00FA04B5">
        <w:rPr>
          <w:sz w:val="22"/>
          <w:szCs w:val="22"/>
        </w:rPr>
        <w:t xml:space="preserve">Competent Authorities are also responsible for post-market monitoring of medical devices. Under the EU Directives a manufacturer of medical devices supplied in the EU must report adverse events involving medical devices to the Competent Authority of the nation where the event occurred. It is the Competent Authority’s responsibility to investigate, monitor and trend adverse events so they can initiate recalls or provide advice to the health system of other Competent Authorities and regulators around the world. </w:t>
      </w:r>
    </w:p>
    <w:p w14:paraId="58BF5468" w14:textId="77777777" w:rsidR="00C13221" w:rsidRPr="00FA04B5" w:rsidRDefault="00C13221" w:rsidP="00FA04B5">
      <w:pPr>
        <w:pStyle w:val="Default"/>
        <w:spacing w:after="120" w:line="276" w:lineRule="auto"/>
        <w:rPr>
          <w:sz w:val="22"/>
          <w:szCs w:val="22"/>
        </w:rPr>
      </w:pPr>
      <w:r w:rsidRPr="00FA04B5">
        <w:rPr>
          <w:sz w:val="22"/>
          <w:szCs w:val="22"/>
        </w:rPr>
        <w:t xml:space="preserve">The European Commission has established a new framework for the designation and supervision of Notified Bodies operating under the EU Medical Devices/Active Medical Devices Directives and partnering with a Competent Authority will provide the greatest insight into the competence of a range of Notified Bodies. </w:t>
      </w:r>
    </w:p>
    <w:p w14:paraId="3F15F592" w14:textId="77777777" w:rsidR="00D15E88" w:rsidRPr="00FA04B5" w:rsidRDefault="00D15E88" w:rsidP="00FA04B5">
      <w:pPr>
        <w:pStyle w:val="Default"/>
        <w:spacing w:after="120" w:line="276" w:lineRule="auto"/>
        <w:rPr>
          <w:sz w:val="22"/>
          <w:szCs w:val="22"/>
        </w:rPr>
      </w:pPr>
      <w:r w:rsidRPr="00FA04B5">
        <w:rPr>
          <w:sz w:val="22"/>
          <w:szCs w:val="22"/>
        </w:rPr>
        <w:t>In September 2013 regulation on the designation and supervision of notified bodies was adopted, examples of new measures include:-</w:t>
      </w:r>
    </w:p>
    <w:p w14:paraId="487AA912" w14:textId="77777777" w:rsidR="00D15E88" w:rsidRPr="00FA04B5" w:rsidRDefault="00D15E88" w:rsidP="00FA04B5">
      <w:pPr>
        <w:pStyle w:val="Default"/>
        <w:spacing w:after="120" w:line="276" w:lineRule="auto"/>
        <w:rPr>
          <w:sz w:val="22"/>
          <w:szCs w:val="22"/>
        </w:rPr>
      </w:pPr>
    </w:p>
    <w:p w14:paraId="24B4F8DF" w14:textId="77777777" w:rsidR="00D15E88" w:rsidRPr="00FA04B5" w:rsidRDefault="00D15E88" w:rsidP="004C10C6">
      <w:pPr>
        <w:pStyle w:val="Default"/>
        <w:numPr>
          <w:ilvl w:val="0"/>
          <w:numId w:val="6"/>
        </w:numPr>
        <w:spacing w:after="120" w:line="276" w:lineRule="auto"/>
        <w:rPr>
          <w:sz w:val="22"/>
          <w:szCs w:val="22"/>
        </w:rPr>
      </w:pPr>
      <w:r w:rsidRPr="00FA04B5">
        <w:rPr>
          <w:sz w:val="22"/>
          <w:szCs w:val="22"/>
        </w:rPr>
        <w:t>A Member State shall on</w:t>
      </w:r>
      <w:r w:rsidR="002F661C">
        <w:rPr>
          <w:sz w:val="22"/>
          <w:szCs w:val="22"/>
        </w:rPr>
        <w:t>ly designate or re-designate a Notified B</w:t>
      </w:r>
      <w:r w:rsidRPr="00FA04B5">
        <w:rPr>
          <w:sz w:val="22"/>
          <w:szCs w:val="22"/>
        </w:rPr>
        <w:t>ody after a joint assessment conducted with experts from the Commission and other Member States. The assessment reports shall be made available to all other Member States.</w:t>
      </w:r>
    </w:p>
    <w:p w14:paraId="4DBC5AFA" w14:textId="77777777" w:rsidR="00D15E88" w:rsidRPr="00FA04B5" w:rsidRDefault="00D15E88" w:rsidP="004C10C6">
      <w:pPr>
        <w:pStyle w:val="Default"/>
        <w:numPr>
          <w:ilvl w:val="0"/>
          <w:numId w:val="6"/>
        </w:numPr>
        <w:spacing w:after="120" w:line="276" w:lineRule="auto"/>
        <w:rPr>
          <w:sz w:val="22"/>
          <w:szCs w:val="22"/>
        </w:rPr>
      </w:pPr>
      <w:r w:rsidRPr="00FA04B5">
        <w:rPr>
          <w:sz w:val="22"/>
          <w:szCs w:val="22"/>
        </w:rPr>
        <w:t>Member States are required to carry out surv</w:t>
      </w:r>
      <w:r w:rsidR="002F661C">
        <w:rPr>
          <w:sz w:val="22"/>
          <w:szCs w:val="22"/>
        </w:rPr>
        <w:t>eillance and monitoring of the Notified Bo</w:t>
      </w:r>
      <w:r w:rsidRPr="00FA04B5">
        <w:rPr>
          <w:sz w:val="22"/>
          <w:szCs w:val="22"/>
        </w:rPr>
        <w:t>dies at certain intervals to ensure that they continuously live up to the requirements. If this is not the case, the Member State mu</w:t>
      </w:r>
      <w:r w:rsidR="002F661C">
        <w:rPr>
          <w:sz w:val="22"/>
          <w:szCs w:val="22"/>
        </w:rPr>
        <w:t>st withdraw the designation as Notified B</w:t>
      </w:r>
      <w:r w:rsidRPr="00FA04B5">
        <w:rPr>
          <w:sz w:val="22"/>
          <w:szCs w:val="22"/>
        </w:rPr>
        <w:t>ody.</w:t>
      </w:r>
    </w:p>
    <w:p w14:paraId="4DFB0C1A" w14:textId="77777777" w:rsidR="00D15E88" w:rsidRPr="00FA04B5" w:rsidRDefault="00D15E88" w:rsidP="004C10C6">
      <w:pPr>
        <w:pStyle w:val="Default"/>
        <w:numPr>
          <w:ilvl w:val="0"/>
          <w:numId w:val="6"/>
        </w:numPr>
        <w:spacing w:after="120" w:line="276" w:lineRule="auto"/>
        <w:rPr>
          <w:sz w:val="22"/>
          <w:szCs w:val="22"/>
        </w:rPr>
      </w:pPr>
      <w:r w:rsidRPr="00FA04B5">
        <w:rPr>
          <w:sz w:val="22"/>
          <w:szCs w:val="22"/>
        </w:rPr>
        <w:t>Knowledge and experience re</w:t>
      </w:r>
      <w:r w:rsidR="002F661C">
        <w:rPr>
          <w:sz w:val="22"/>
          <w:szCs w:val="22"/>
        </w:rPr>
        <w:t>quirements of the staff of the Notified B</w:t>
      </w:r>
      <w:r w:rsidRPr="00FA04B5">
        <w:rPr>
          <w:sz w:val="22"/>
          <w:szCs w:val="22"/>
        </w:rPr>
        <w:t xml:space="preserve">odies are clarified. </w:t>
      </w:r>
    </w:p>
    <w:p w14:paraId="330C0EC6" w14:textId="77777777" w:rsidR="00D15E88" w:rsidRPr="00FA04B5" w:rsidRDefault="00D15E88" w:rsidP="00FA04B5">
      <w:pPr>
        <w:pStyle w:val="Default"/>
        <w:spacing w:after="120" w:line="276" w:lineRule="auto"/>
        <w:rPr>
          <w:sz w:val="22"/>
          <w:szCs w:val="22"/>
        </w:rPr>
      </w:pPr>
      <w:r w:rsidRPr="00FA04B5">
        <w:rPr>
          <w:sz w:val="22"/>
          <w:szCs w:val="22"/>
        </w:rPr>
        <w:t xml:space="preserve">In 2014 20 joint mandatory assessments under the Regulation are expected and of the five which took place earlier in </w:t>
      </w:r>
      <w:r w:rsidR="002F661C">
        <w:rPr>
          <w:sz w:val="22"/>
          <w:szCs w:val="22"/>
        </w:rPr>
        <w:t>2014 one application for a new Notified B</w:t>
      </w:r>
      <w:r w:rsidR="00CC26CE">
        <w:rPr>
          <w:sz w:val="22"/>
          <w:szCs w:val="22"/>
        </w:rPr>
        <w:t>ody to be designated was</w:t>
      </w:r>
      <w:r w:rsidRPr="00FA04B5">
        <w:rPr>
          <w:sz w:val="22"/>
          <w:szCs w:val="22"/>
        </w:rPr>
        <w:t xml:space="preserve"> refused.</w:t>
      </w:r>
    </w:p>
    <w:p w14:paraId="709F86C9" w14:textId="77777777" w:rsidR="00F301F8" w:rsidRPr="00FA04B5" w:rsidRDefault="00D15E88" w:rsidP="00FA04B5">
      <w:pPr>
        <w:pStyle w:val="Default"/>
        <w:spacing w:after="120" w:line="276" w:lineRule="auto"/>
        <w:rPr>
          <w:sz w:val="22"/>
          <w:szCs w:val="22"/>
        </w:rPr>
      </w:pPr>
      <w:r w:rsidRPr="00FA04B5">
        <w:rPr>
          <w:sz w:val="22"/>
          <w:szCs w:val="22"/>
        </w:rPr>
        <w:t>Other recommendations surrounding audits and assessments have also been adopted such as random unannounced manufacturer audits and rotation of auditors to ensure impartiality, in 2014.</w:t>
      </w:r>
      <w:r w:rsidR="00F301F8" w:rsidRPr="00FA04B5">
        <w:rPr>
          <w:sz w:val="22"/>
          <w:szCs w:val="22"/>
        </w:rPr>
        <w:t xml:space="preserve"> </w:t>
      </w:r>
    </w:p>
    <w:p w14:paraId="3302CA73" w14:textId="77777777" w:rsidR="00F301F8" w:rsidRDefault="00F301F8" w:rsidP="00FA04B5">
      <w:pPr>
        <w:pStyle w:val="Default"/>
        <w:spacing w:after="120" w:line="276" w:lineRule="auto"/>
        <w:rPr>
          <w:sz w:val="22"/>
          <w:szCs w:val="22"/>
        </w:rPr>
      </w:pPr>
      <w:r w:rsidRPr="00FA04B5">
        <w:rPr>
          <w:sz w:val="22"/>
          <w:szCs w:val="22"/>
        </w:rPr>
        <w:t>In addition existing international collaborations such as the IMDRF Medical Devices Single Audit Program (MDSAP) and the Mutual Recognition Agreement (MRA) with the EU may also support the reliance by Medsafe on the conformity assessment procedures undertaken by European Notified Bodies.</w:t>
      </w:r>
    </w:p>
    <w:p w14:paraId="0D1D7A51" w14:textId="77777777" w:rsidR="00387DE3" w:rsidRPr="00FA04B5" w:rsidRDefault="00387DE3" w:rsidP="00FA04B5">
      <w:pPr>
        <w:pStyle w:val="Default"/>
        <w:spacing w:after="120" w:line="276" w:lineRule="auto"/>
        <w:rPr>
          <w:sz w:val="22"/>
          <w:szCs w:val="22"/>
        </w:rPr>
      </w:pPr>
      <w:r>
        <w:rPr>
          <w:sz w:val="22"/>
          <w:szCs w:val="22"/>
        </w:rPr>
        <w:t xml:space="preserve">These recent “improvements” to the European system provide additional confidence in the way that Notified Bodies fulfil their responsibilities.  </w:t>
      </w:r>
    </w:p>
    <w:p w14:paraId="3EEA356A" w14:textId="77777777" w:rsidR="00F711D8" w:rsidRPr="00FA04B5" w:rsidRDefault="00F711D8" w:rsidP="00FA04B5">
      <w:pPr>
        <w:spacing w:after="120"/>
        <w:rPr>
          <w:rFonts w:ascii="Arial" w:hAnsi="Arial" w:cs="Arial"/>
        </w:rPr>
      </w:pPr>
    </w:p>
    <w:p w14:paraId="3A1001FE" w14:textId="77777777" w:rsidR="006733C9" w:rsidRPr="00FA04B5" w:rsidRDefault="00F4338C" w:rsidP="00FA04B5">
      <w:pPr>
        <w:spacing w:after="120"/>
        <w:rPr>
          <w:rFonts w:ascii="Arial" w:hAnsi="Arial" w:cs="Arial"/>
          <w:b/>
        </w:rPr>
      </w:pPr>
      <w:r w:rsidRPr="00FA04B5">
        <w:rPr>
          <w:rFonts w:ascii="Arial" w:hAnsi="Arial" w:cs="Arial"/>
          <w:b/>
        </w:rPr>
        <w:t>7</w:t>
      </w:r>
      <w:r w:rsidRPr="00FA04B5">
        <w:rPr>
          <w:rFonts w:ascii="Arial" w:hAnsi="Arial" w:cs="Arial"/>
          <w:b/>
        </w:rPr>
        <w:tab/>
      </w:r>
      <w:r w:rsidRPr="00475926">
        <w:rPr>
          <w:rFonts w:ascii="Arial" w:hAnsi="Arial" w:cs="Arial"/>
          <w:b/>
          <w:sz w:val="24"/>
          <w:szCs w:val="24"/>
        </w:rPr>
        <w:t>A proposed regulatory scheme for medical devices</w:t>
      </w:r>
      <w:r w:rsidR="00F96DF5" w:rsidRPr="00475926">
        <w:rPr>
          <w:rFonts w:ascii="Arial" w:hAnsi="Arial" w:cs="Arial"/>
          <w:b/>
          <w:sz w:val="24"/>
          <w:szCs w:val="24"/>
        </w:rPr>
        <w:t xml:space="preserve"> in New Zealand</w:t>
      </w:r>
    </w:p>
    <w:p w14:paraId="132948FD" w14:textId="77777777" w:rsidR="00A70D54" w:rsidRPr="00475926" w:rsidRDefault="00BC5CCD" w:rsidP="00FA04B5">
      <w:pPr>
        <w:spacing w:after="120"/>
        <w:rPr>
          <w:rFonts w:ascii="Arial" w:hAnsi="Arial" w:cs="Arial"/>
          <w:sz w:val="22"/>
          <w:szCs w:val="22"/>
        </w:rPr>
      </w:pPr>
      <w:r w:rsidRPr="00475926">
        <w:rPr>
          <w:rFonts w:ascii="Arial" w:hAnsi="Arial" w:cs="Arial"/>
          <w:sz w:val="22"/>
          <w:szCs w:val="22"/>
        </w:rPr>
        <w:t>The key features of a proposed</w:t>
      </w:r>
      <w:r w:rsidR="00BB6753" w:rsidRPr="00475926">
        <w:rPr>
          <w:rFonts w:ascii="Arial" w:hAnsi="Arial" w:cs="Arial"/>
          <w:sz w:val="22"/>
          <w:szCs w:val="22"/>
        </w:rPr>
        <w:t xml:space="preserve"> New Zealand </w:t>
      </w:r>
      <w:r w:rsidRPr="00475926">
        <w:rPr>
          <w:rFonts w:ascii="Arial" w:hAnsi="Arial" w:cs="Arial"/>
          <w:sz w:val="22"/>
          <w:szCs w:val="22"/>
        </w:rPr>
        <w:t>regulatory scheme for medical devices would contain the following:</w:t>
      </w:r>
    </w:p>
    <w:p w14:paraId="31E1D1FA" w14:textId="77777777" w:rsidR="00F711D8" w:rsidRPr="00475926" w:rsidRDefault="004E676F" w:rsidP="004C10C6">
      <w:pPr>
        <w:pStyle w:val="ListParagraph"/>
        <w:numPr>
          <w:ilvl w:val="0"/>
          <w:numId w:val="5"/>
        </w:numPr>
        <w:spacing w:after="120"/>
        <w:contextualSpacing w:val="0"/>
        <w:rPr>
          <w:rFonts w:ascii="Arial" w:hAnsi="Arial" w:cs="Arial"/>
          <w:i/>
          <w:sz w:val="22"/>
          <w:szCs w:val="22"/>
        </w:rPr>
      </w:pPr>
      <w:r w:rsidRPr="00475926">
        <w:rPr>
          <w:rFonts w:ascii="Arial" w:hAnsi="Arial" w:cs="Arial"/>
          <w:i/>
          <w:sz w:val="22"/>
          <w:szCs w:val="22"/>
        </w:rPr>
        <w:t>The regulatory authority (</w:t>
      </w:r>
      <w:r w:rsidR="00F301F8" w:rsidRPr="00475926">
        <w:rPr>
          <w:rFonts w:ascii="Arial" w:hAnsi="Arial" w:cs="Arial"/>
          <w:i/>
          <w:sz w:val="22"/>
          <w:szCs w:val="22"/>
        </w:rPr>
        <w:t>Medsafe</w:t>
      </w:r>
      <w:r w:rsidRPr="00475926">
        <w:rPr>
          <w:rFonts w:ascii="Arial" w:hAnsi="Arial" w:cs="Arial"/>
          <w:i/>
          <w:sz w:val="22"/>
          <w:szCs w:val="22"/>
        </w:rPr>
        <w:t>)</w:t>
      </w:r>
      <w:r w:rsidR="00F301F8" w:rsidRPr="00475926">
        <w:rPr>
          <w:rFonts w:ascii="Arial" w:hAnsi="Arial" w:cs="Arial"/>
          <w:i/>
          <w:sz w:val="22"/>
          <w:szCs w:val="22"/>
        </w:rPr>
        <w:t xml:space="preserve"> should become a Competent Authority.</w:t>
      </w:r>
    </w:p>
    <w:p w14:paraId="3F4122E9" w14:textId="77777777" w:rsidR="00F301F8" w:rsidRPr="00475926" w:rsidRDefault="00F301F8" w:rsidP="00FA04B5">
      <w:pPr>
        <w:pStyle w:val="ListParagraph"/>
        <w:spacing w:after="120"/>
        <w:contextualSpacing w:val="0"/>
        <w:rPr>
          <w:rFonts w:ascii="Arial" w:hAnsi="Arial" w:cs="Arial"/>
          <w:sz w:val="22"/>
          <w:szCs w:val="22"/>
          <w:lang w:val="en-US"/>
        </w:rPr>
      </w:pPr>
      <w:r w:rsidRPr="00475926">
        <w:rPr>
          <w:rFonts w:ascii="Arial" w:hAnsi="Arial" w:cs="Arial"/>
          <w:sz w:val="22"/>
          <w:szCs w:val="22"/>
          <w:lang w:val="en-US"/>
        </w:rPr>
        <w:t>The competent authority is in control of two main elements:</w:t>
      </w:r>
    </w:p>
    <w:p w14:paraId="40E51C3C" w14:textId="77777777" w:rsidR="00F301F8" w:rsidRPr="00475926" w:rsidRDefault="00F301F8" w:rsidP="004C10C6">
      <w:pPr>
        <w:pStyle w:val="ListParagraph"/>
        <w:numPr>
          <w:ilvl w:val="1"/>
          <w:numId w:val="9"/>
        </w:numPr>
        <w:spacing w:after="120"/>
        <w:ind w:left="1560"/>
        <w:contextualSpacing w:val="0"/>
        <w:rPr>
          <w:rFonts w:ascii="Arial" w:hAnsi="Arial" w:cs="Arial"/>
          <w:sz w:val="22"/>
          <w:szCs w:val="22"/>
          <w:lang w:val="en-US"/>
        </w:rPr>
      </w:pPr>
      <w:r w:rsidRPr="00475926">
        <w:rPr>
          <w:rFonts w:ascii="Arial" w:hAnsi="Arial" w:cs="Arial"/>
          <w:sz w:val="22"/>
          <w:szCs w:val="22"/>
          <w:lang w:val="en-US"/>
        </w:rPr>
        <w:t xml:space="preserve">Firstly they set the public safety requirements and intervention mechanisms and </w:t>
      </w:r>
    </w:p>
    <w:p w14:paraId="3079109A" w14:textId="77777777" w:rsidR="00F301F8" w:rsidRPr="00475926" w:rsidRDefault="00F301F8" w:rsidP="004C10C6">
      <w:pPr>
        <w:pStyle w:val="ListParagraph"/>
        <w:numPr>
          <w:ilvl w:val="1"/>
          <w:numId w:val="9"/>
        </w:numPr>
        <w:spacing w:after="120"/>
        <w:ind w:left="1560"/>
        <w:contextualSpacing w:val="0"/>
        <w:rPr>
          <w:rFonts w:ascii="Arial" w:hAnsi="Arial" w:cs="Arial"/>
          <w:sz w:val="22"/>
          <w:szCs w:val="22"/>
          <w:lang w:val="en-US"/>
        </w:rPr>
      </w:pPr>
      <w:r w:rsidRPr="00475926">
        <w:rPr>
          <w:rFonts w:ascii="Arial" w:hAnsi="Arial" w:cs="Arial"/>
          <w:sz w:val="22"/>
          <w:szCs w:val="22"/>
          <w:lang w:val="en-US"/>
        </w:rPr>
        <w:t>Secondly, they select and control competent, scientific certification bodies to do the technical and scientific review</w:t>
      </w:r>
    </w:p>
    <w:p w14:paraId="2F7E9F84" w14:textId="77777777" w:rsidR="004E676F" w:rsidRPr="00475926" w:rsidRDefault="004E676F" w:rsidP="00FA04B5">
      <w:pPr>
        <w:pStyle w:val="ListParagraph"/>
        <w:spacing w:after="120"/>
        <w:contextualSpacing w:val="0"/>
        <w:rPr>
          <w:rFonts w:ascii="Arial" w:hAnsi="Arial" w:cs="Arial"/>
          <w:sz w:val="22"/>
          <w:szCs w:val="22"/>
          <w:lang w:val="en-US"/>
        </w:rPr>
      </w:pPr>
      <w:r w:rsidRPr="00475926">
        <w:rPr>
          <w:rFonts w:ascii="Arial" w:hAnsi="Arial" w:cs="Arial"/>
          <w:sz w:val="22"/>
          <w:szCs w:val="22"/>
          <w:lang w:val="en-US"/>
        </w:rPr>
        <w:t>Ultimate control remains under the jurisdiction of the Competent Authority</w:t>
      </w:r>
      <w:r w:rsidR="00FA04B5" w:rsidRPr="00475926">
        <w:rPr>
          <w:rFonts w:ascii="Arial" w:hAnsi="Arial" w:cs="Arial"/>
          <w:sz w:val="22"/>
          <w:szCs w:val="22"/>
          <w:lang w:val="en-US"/>
        </w:rPr>
        <w:t>.</w:t>
      </w:r>
    </w:p>
    <w:p w14:paraId="27BA4DF1" w14:textId="77777777" w:rsidR="004E676F" w:rsidRPr="00475926" w:rsidRDefault="004E676F" w:rsidP="00FA04B5">
      <w:pPr>
        <w:pStyle w:val="ListParagraph"/>
        <w:spacing w:after="120"/>
        <w:contextualSpacing w:val="0"/>
        <w:rPr>
          <w:rFonts w:ascii="Arial" w:hAnsi="Arial" w:cs="Arial"/>
          <w:sz w:val="22"/>
          <w:szCs w:val="22"/>
          <w:lang w:val="en-US"/>
        </w:rPr>
      </w:pPr>
      <w:r w:rsidRPr="00475926">
        <w:rPr>
          <w:rFonts w:ascii="Arial" w:hAnsi="Arial" w:cs="Arial"/>
          <w:sz w:val="22"/>
          <w:szCs w:val="22"/>
          <w:lang w:val="en-US"/>
        </w:rPr>
        <w:t>This concept would translate in the legislation where Medsafe would have two broad tasks:</w:t>
      </w:r>
    </w:p>
    <w:p w14:paraId="314CD8DD" w14:textId="77777777" w:rsidR="004E676F" w:rsidRPr="00475926" w:rsidRDefault="004E676F" w:rsidP="004C10C6">
      <w:pPr>
        <w:pStyle w:val="ListParagraph"/>
        <w:numPr>
          <w:ilvl w:val="0"/>
          <w:numId w:val="10"/>
        </w:numPr>
        <w:spacing w:after="120"/>
        <w:contextualSpacing w:val="0"/>
        <w:rPr>
          <w:rFonts w:ascii="Arial" w:hAnsi="Arial" w:cs="Arial"/>
          <w:sz w:val="22"/>
          <w:szCs w:val="22"/>
          <w:lang w:val="en-US"/>
        </w:rPr>
      </w:pPr>
      <w:r w:rsidRPr="00475926">
        <w:rPr>
          <w:rFonts w:ascii="Arial" w:hAnsi="Arial" w:cs="Arial"/>
          <w:sz w:val="22"/>
          <w:szCs w:val="22"/>
          <w:lang w:val="en-US"/>
        </w:rPr>
        <w:t xml:space="preserve">Setting and monitoring public health and safety requirements such as essential safety and performance requirements, clinical investigation, product classifications, product, technical and manufacturing standards, vigilance and market surveillance; </w:t>
      </w:r>
    </w:p>
    <w:p w14:paraId="6C28669B" w14:textId="77777777" w:rsidR="004E676F" w:rsidRPr="00475926" w:rsidRDefault="004E676F" w:rsidP="004C10C6">
      <w:pPr>
        <w:pStyle w:val="ListParagraph"/>
        <w:numPr>
          <w:ilvl w:val="0"/>
          <w:numId w:val="10"/>
        </w:numPr>
        <w:spacing w:after="120"/>
        <w:contextualSpacing w:val="0"/>
        <w:rPr>
          <w:rFonts w:ascii="Arial" w:hAnsi="Arial" w:cs="Arial"/>
          <w:sz w:val="22"/>
          <w:szCs w:val="22"/>
          <w:lang w:val="en-US"/>
        </w:rPr>
      </w:pPr>
      <w:r w:rsidRPr="00475926">
        <w:rPr>
          <w:rFonts w:ascii="Arial" w:hAnsi="Arial" w:cs="Arial"/>
          <w:sz w:val="22"/>
          <w:szCs w:val="22"/>
          <w:lang w:val="en-US"/>
        </w:rPr>
        <w:t>Selecting, empowering, monitoring and evaluating competent testing and certification organizations, (main</w:t>
      </w:r>
      <w:r w:rsidR="00F711D8" w:rsidRPr="00475926">
        <w:rPr>
          <w:rFonts w:ascii="Arial" w:hAnsi="Arial" w:cs="Arial"/>
          <w:sz w:val="22"/>
          <w:szCs w:val="22"/>
          <w:lang w:val="en-US"/>
        </w:rPr>
        <w:t xml:space="preserve">ly </w:t>
      </w:r>
      <w:r w:rsidRPr="00475926">
        <w:rPr>
          <w:rFonts w:ascii="Arial" w:hAnsi="Arial" w:cs="Arial"/>
          <w:sz w:val="22"/>
          <w:szCs w:val="22"/>
          <w:lang w:val="en-US"/>
        </w:rPr>
        <w:t>Notified Bodies) who must have the latest in scientific and technical competence, and be capable of checking both manufacturers and their medical devices in accordance with the regulations.</w:t>
      </w:r>
    </w:p>
    <w:p w14:paraId="64F53DB8" w14:textId="77777777" w:rsidR="004E676F" w:rsidRPr="00475926" w:rsidRDefault="004E676F" w:rsidP="00FA04B5">
      <w:pPr>
        <w:spacing w:after="120"/>
        <w:ind w:right="208"/>
        <w:rPr>
          <w:rFonts w:ascii="Arial" w:eastAsia="Arial" w:hAnsi="Arial" w:cs="Arial"/>
          <w:sz w:val="22"/>
          <w:szCs w:val="22"/>
        </w:rPr>
      </w:pPr>
    </w:p>
    <w:p w14:paraId="2F4DADF6" w14:textId="77777777" w:rsidR="004E676F" w:rsidRPr="00475926" w:rsidRDefault="00156C71" w:rsidP="004C10C6">
      <w:pPr>
        <w:pStyle w:val="ListParagraph"/>
        <w:numPr>
          <w:ilvl w:val="0"/>
          <w:numId w:val="5"/>
        </w:numPr>
        <w:spacing w:after="120"/>
        <w:contextualSpacing w:val="0"/>
        <w:rPr>
          <w:rFonts w:ascii="Arial" w:hAnsi="Arial" w:cs="Arial"/>
          <w:sz w:val="22"/>
          <w:szCs w:val="22"/>
        </w:rPr>
      </w:pPr>
      <w:r w:rsidRPr="00475926">
        <w:rPr>
          <w:rFonts w:ascii="Arial" w:hAnsi="Arial" w:cs="Arial"/>
          <w:i/>
          <w:sz w:val="22"/>
          <w:szCs w:val="22"/>
        </w:rPr>
        <w:t xml:space="preserve">The regulatory </w:t>
      </w:r>
      <w:r w:rsidR="00F711D8" w:rsidRPr="00475926">
        <w:rPr>
          <w:rFonts w:ascii="Arial" w:hAnsi="Arial" w:cs="Arial"/>
          <w:i/>
          <w:sz w:val="22"/>
          <w:szCs w:val="22"/>
        </w:rPr>
        <w:t>authority (</w:t>
      </w:r>
      <w:r w:rsidR="004E676F" w:rsidRPr="00475926">
        <w:rPr>
          <w:rFonts w:ascii="Arial" w:hAnsi="Arial" w:cs="Arial"/>
          <w:i/>
          <w:sz w:val="22"/>
          <w:szCs w:val="22"/>
        </w:rPr>
        <w:t xml:space="preserve">Medsafe) </w:t>
      </w:r>
      <w:r w:rsidRPr="00475926">
        <w:rPr>
          <w:rFonts w:ascii="Arial" w:hAnsi="Arial" w:cs="Arial"/>
          <w:i/>
          <w:sz w:val="22"/>
          <w:szCs w:val="22"/>
        </w:rPr>
        <w:t xml:space="preserve">is able </w:t>
      </w:r>
      <w:r w:rsidR="00BC5CCD" w:rsidRPr="00475926">
        <w:rPr>
          <w:rFonts w:ascii="Arial" w:hAnsi="Arial" w:cs="Arial"/>
          <w:i/>
          <w:sz w:val="22"/>
          <w:szCs w:val="22"/>
        </w:rPr>
        <w:t xml:space="preserve">to designate third-party </w:t>
      </w:r>
      <w:r w:rsidR="00F96DF5" w:rsidRPr="00475926">
        <w:rPr>
          <w:rFonts w:ascii="Arial" w:hAnsi="Arial" w:cs="Arial"/>
          <w:i/>
          <w:sz w:val="22"/>
          <w:szCs w:val="22"/>
        </w:rPr>
        <w:t>conformity assessment bodies</w:t>
      </w:r>
      <w:r w:rsidR="00F711D8" w:rsidRPr="00475926">
        <w:rPr>
          <w:rFonts w:ascii="Arial" w:hAnsi="Arial" w:cs="Arial"/>
          <w:i/>
          <w:sz w:val="22"/>
          <w:szCs w:val="22"/>
        </w:rPr>
        <w:t xml:space="preserve"> whose certification is acceptable to be able to include a device in WAND</w:t>
      </w:r>
      <w:r w:rsidR="00BC5CCD" w:rsidRPr="00475926">
        <w:rPr>
          <w:rFonts w:ascii="Arial" w:hAnsi="Arial" w:cs="Arial"/>
          <w:sz w:val="22"/>
          <w:szCs w:val="22"/>
        </w:rPr>
        <w:t>.</w:t>
      </w:r>
    </w:p>
    <w:p w14:paraId="52178258" w14:textId="77777777" w:rsidR="00791134" w:rsidRPr="00475926" w:rsidRDefault="00CC26CE" w:rsidP="00FA04B5">
      <w:pPr>
        <w:pStyle w:val="ListParagraph"/>
        <w:spacing w:after="120"/>
        <w:contextualSpacing w:val="0"/>
        <w:rPr>
          <w:rFonts w:ascii="Arial" w:hAnsi="Arial" w:cs="Arial"/>
          <w:sz w:val="22"/>
          <w:szCs w:val="22"/>
          <w:lang w:val="en-US"/>
        </w:rPr>
      </w:pPr>
      <w:r>
        <w:rPr>
          <w:rFonts w:ascii="Arial" w:hAnsi="Arial" w:cs="Arial"/>
          <w:sz w:val="22"/>
          <w:szCs w:val="22"/>
          <w:lang w:val="en-US"/>
        </w:rPr>
        <w:t>With Medsafe as the Competent A</w:t>
      </w:r>
      <w:r w:rsidR="004E676F" w:rsidRPr="00475926">
        <w:rPr>
          <w:rFonts w:ascii="Arial" w:hAnsi="Arial" w:cs="Arial"/>
          <w:sz w:val="22"/>
          <w:szCs w:val="22"/>
          <w:lang w:val="en-US"/>
        </w:rPr>
        <w:t>uthority</w:t>
      </w:r>
      <w:r w:rsidR="00FA04B5" w:rsidRPr="00475926">
        <w:rPr>
          <w:rFonts w:ascii="Arial" w:hAnsi="Arial" w:cs="Arial"/>
          <w:sz w:val="22"/>
          <w:szCs w:val="22"/>
          <w:lang w:val="en-US"/>
        </w:rPr>
        <w:t>,</w:t>
      </w:r>
      <w:r w:rsidR="004E676F" w:rsidRPr="00475926">
        <w:rPr>
          <w:rFonts w:ascii="Arial" w:hAnsi="Arial" w:cs="Arial"/>
          <w:sz w:val="22"/>
          <w:szCs w:val="22"/>
          <w:lang w:val="en-US"/>
        </w:rPr>
        <w:t xml:space="preserve"> the use of </w:t>
      </w:r>
      <w:r w:rsidR="00FA04B5" w:rsidRPr="00475926">
        <w:rPr>
          <w:rFonts w:ascii="Arial" w:hAnsi="Arial" w:cs="Arial"/>
          <w:sz w:val="22"/>
          <w:szCs w:val="22"/>
          <w:lang w:val="en-US"/>
        </w:rPr>
        <w:t xml:space="preserve">certification issued by </w:t>
      </w:r>
      <w:r w:rsidR="004E676F" w:rsidRPr="00475926">
        <w:rPr>
          <w:rFonts w:ascii="Arial" w:hAnsi="Arial" w:cs="Arial"/>
          <w:sz w:val="22"/>
          <w:szCs w:val="22"/>
          <w:lang w:val="en-US"/>
        </w:rPr>
        <w:t xml:space="preserve">designated 3rd party conformity assessment bodies </w:t>
      </w:r>
      <w:r w:rsidR="00FA04B5" w:rsidRPr="00475926">
        <w:rPr>
          <w:rFonts w:ascii="Arial" w:hAnsi="Arial" w:cs="Arial"/>
          <w:sz w:val="22"/>
          <w:szCs w:val="22"/>
          <w:lang w:val="en-US"/>
        </w:rPr>
        <w:t xml:space="preserve">would enable </w:t>
      </w:r>
      <w:r w:rsidR="004E676F" w:rsidRPr="00475926">
        <w:rPr>
          <w:rFonts w:ascii="Arial" w:hAnsi="Arial" w:cs="Arial"/>
          <w:sz w:val="22"/>
          <w:szCs w:val="22"/>
          <w:lang w:val="en-US"/>
        </w:rPr>
        <w:t xml:space="preserve">Medsafe to ensure the best skilled and competent reviewers are </w:t>
      </w:r>
      <w:r w:rsidR="00FA04B5" w:rsidRPr="00475926">
        <w:rPr>
          <w:rFonts w:ascii="Arial" w:hAnsi="Arial" w:cs="Arial"/>
          <w:sz w:val="22"/>
          <w:szCs w:val="22"/>
          <w:lang w:val="en-US"/>
        </w:rPr>
        <w:t>assessing</w:t>
      </w:r>
      <w:r w:rsidR="004E676F" w:rsidRPr="00475926">
        <w:rPr>
          <w:rFonts w:ascii="Arial" w:hAnsi="Arial" w:cs="Arial"/>
          <w:sz w:val="22"/>
          <w:szCs w:val="22"/>
          <w:lang w:val="en-US"/>
        </w:rPr>
        <w:t xml:space="preserve"> products coming into New Zealand</w:t>
      </w:r>
      <w:r w:rsidR="00F711D8" w:rsidRPr="00475926">
        <w:rPr>
          <w:rFonts w:ascii="Arial" w:hAnsi="Arial" w:cs="Arial"/>
          <w:sz w:val="22"/>
          <w:szCs w:val="22"/>
          <w:lang w:val="en-US"/>
        </w:rPr>
        <w:t xml:space="preserve">. </w:t>
      </w:r>
      <w:r w:rsidR="00791134" w:rsidRPr="00475926">
        <w:rPr>
          <w:rFonts w:ascii="Arial" w:hAnsi="Arial" w:cs="Arial"/>
          <w:sz w:val="22"/>
          <w:szCs w:val="22"/>
          <w:lang w:val="en-US"/>
        </w:rPr>
        <w:t>The majority of medical devices supplied in New Zealand will be supported by CE certificatio</w:t>
      </w:r>
      <w:r w:rsidR="00F711D8" w:rsidRPr="00475926">
        <w:rPr>
          <w:rFonts w:ascii="Arial" w:hAnsi="Arial" w:cs="Arial"/>
          <w:sz w:val="22"/>
          <w:szCs w:val="22"/>
          <w:lang w:val="en-US"/>
        </w:rPr>
        <w:t>n from a European Notified Body.</w:t>
      </w:r>
    </w:p>
    <w:p w14:paraId="6AF04AD9" w14:textId="77777777" w:rsidR="00F711D8" w:rsidRPr="00475926" w:rsidRDefault="00F711D8" w:rsidP="00FA04B5">
      <w:pPr>
        <w:pStyle w:val="ListParagraph"/>
        <w:spacing w:after="120"/>
        <w:contextualSpacing w:val="0"/>
        <w:rPr>
          <w:rFonts w:ascii="Arial" w:hAnsi="Arial" w:cs="Arial"/>
          <w:sz w:val="22"/>
          <w:szCs w:val="22"/>
          <w:lang w:val="en-US"/>
        </w:rPr>
      </w:pPr>
      <w:r w:rsidRPr="00475926">
        <w:rPr>
          <w:rFonts w:ascii="Arial" w:hAnsi="Arial" w:cs="Arial"/>
          <w:sz w:val="22"/>
          <w:szCs w:val="22"/>
          <w:lang w:val="en-US"/>
        </w:rPr>
        <w:t xml:space="preserve">Similar to the current </w:t>
      </w:r>
      <w:r w:rsidR="00FA04B5" w:rsidRPr="00475926">
        <w:rPr>
          <w:rFonts w:ascii="Arial" w:hAnsi="Arial" w:cs="Arial"/>
          <w:sz w:val="22"/>
          <w:szCs w:val="22"/>
          <w:lang w:val="en-US"/>
        </w:rPr>
        <w:t xml:space="preserve">DHB </w:t>
      </w:r>
      <w:r w:rsidRPr="00475926">
        <w:rPr>
          <w:rFonts w:ascii="Arial" w:hAnsi="Arial" w:cs="Arial"/>
          <w:sz w:val="22"/>
          <w:szCs w:val="22"/>
          <w:lang w:val="en-US"/>
        </w:rPr>
        <w:t>process</w:t>
      </w:r>
      <w:r w:rsidR="00FA04B5" w:rsidRPr="00475926">
        <w:rPr>
          <w:rFonts w:ascii="Arial" w:hAnsi="Arial" w:cs="Arial"/>
          <w:sz w:val="22"/>
          <w:szCs w:val="22"/>
          <w:lang w:val="en-US"/>
        </w:rPr>
        <w:t>,</w:t>
      </w:r>
      <w:r w:rsidRPr="00475926">
        <w:rPr>
          <w:rFonts w:ascii="Arial" w:hAnsi="Arial" w:cs="Arial"/>
          <w:sz w:val="22"/>
          <w:szCs w:val="22"/>
          <w:lang w:val="en-US"/>
        </w:rPr>
        <w:t xml:space="preserve"> Medsafe would accept the CE certification from these designated </w:t>
      </w:r>
      <w:r w:rsidR="00FA04B5" w:rsidRPr="00475926">
        <w:rPr>
          <w:rFonts w:ascii="Arial" w:hAnsi="Arial" w:cs="Arial"/>
          <w:sz w:val="22"/>
          <w:szCs w:val="22"/>
          <w:lang w:val="en-US"/>
        </w:rPr>
        <w:t xml:space="preserve">conformity assessment </w:t>
      </w:r>
      <w:r w:rsidRPr="00475926">
        <w:rPr>
          <w:rFonts w:ascii="Arial" w:hAnsi="Arial" w:cs="Arial"/>
          <w:sz w:val="22"/>
          <w:szCs w:val="22"/>
          <w:lang w:val="en-US"/>
        </w:rPr>
        <w:t xml:space="preserve">bodies </w:t>
      </w:r>
      <w:r w:rsidR="00637999" w:rsidRPr="00475926">
        <w:rPr>
          <w:rFonts w:ascii="Arial" w:hAnsi="Arial" w:cs="Arial"/>
          <w:sz w:val="22"/>
          <w:szCs w:val="22"/>
          <w:lang w:val="en-US"/>
        </w:rPr>
        <w:t>without any further review and the New Zealand sponsor would upload the conformity assessment certification in to an enhanced WAND database.</w:t>
      </w:r>
    </w:p>
    <w:p w14:paraId="1F7461B7" w14:textId="77777777" w:rsidR="00387DE3" w:rsidRPr="00475926" w:rsidRDefault="00387DE3" w:rsidP="00FA04B5">
      <w:pPr>
        <w:pStyle w:val="ListParagraph"/>
        <w:spacing w:after="120"/>
        <w:contextualSpacing w:val="0"/>
        <w:rPr>
          <w:rFonts w:ascii="Arial" w:hAnsi="Arial" w:cs="Arial"/>
          <w:sz w:val="22"/>
          <w:szCs w:val="22"/>
          <w:lang w:val="en-US"/>
        </w:rPr>
      </w:pPr>
      <w:r w:rsidRPr="00475926">
        <w:rPr>
          <w:rFonts w:ascii="Arial" w:hAnsi="Arial" w:cs="Arial"/>
          <w:sz w:val="22"/>
          <w:szCs w:val="22"/>
          <w:lang w:val="en-US"/>
        </w:rPr>
        <w:t>(For a New Zealand manufacturer that only supplies the domestic market, conformity assessment would be delegated to a designated 3</w:t>
      </w:r>
      <w:r w:rsidRPr="00475926">
        <w:rPr>
          <w:rFonts w:ascii="Arial" w:hAnsi="Arial" w:cs="Arial"/>
          <w:sz w:val="22"/>
          <w:szCs w:val="22"/>
          <w:vertAlign w:val="superscript"/>
          <w:lang w:val="en-US"/>
        </w:rPr>
        <w:t>rd</w:t>
      </w:r>
      <w:r w:rsidRPr="00475926">
        <w:rPr>
          <w:rFonts w:ascii="Arial" w:hAnsi="Arial" w:cs="Arial"/>
          <w:sz w:val="22"/>
          <w:szCs w:val="22"/>
          <w:lang w:val="en-US"/>
        </w:rPr>
        <w:t xml:space="preserve"> party conformity assessment body) </w:t>
      </w:r>
    </w:p>
    <w:p w14:paraId="4ED57F1F" w14:textId="77777777" w:rsidR="00FB2287" w:rsidRPr="00475926" w:rsidRDefault="00FB2287" w:rsidP="00FA04B5">
      <w:pPr>
        <w:spacing w:after="120"/>
        <w:rPr>
          <w:rFonts w:ascii="Arial" w:hAnsi="Arial" w:cs="Arial"/>
          <w:sz w:val="22"/>
          <w:szCs w:val="22"/>
        </w:rPr>
      </w:pPr>
    </w:p>
    <w:p w14:paraId="6F7AB9B3" w14:textId="77777777" w:rsidR="001B2417" w:rsidRPr="00475926" w:rsidRDefault="001B2417" w:rsidP="004C10C6">
      <w:pPr>
        <w:pStyle w:val="ListParagraph"/>
        <w:numPr>
          <w:ilvl w:val="0"/>
          <w:numId w:val="5"/>
        </w:numPr>
        <w:autoSpaceDE w:val="0"/>
        <w:autoSpaceDN w:val="0"/>
        <w:adjustRightInd w:val="0"/>
        <w:spacing w:after="120"/>
        <w:contextualSpacing w:val="0"/>
        <w:rPr>
          <w:rFonts w:ascii="Arial" w:hAnsi="Arial" w:cs="Arial"/>
          <w:i/>
          <w:sz w:val="22"/>
          <w:szCs w:val="22"/>
        </w:rPr>
      </w:pPr>
      <w:r w:rsidRPr="00475926">
        <w:rPr>
          <w:rFonts w:ascii="Arial" w:hAnsi="Arial" w:cs="Arial"/>
          <w:i/>
          <w:sz w:val="22"/>
          <w:szCs w:val="22"/>
        </w:rPr>
        <w:t xml:space="preserve">Enhancement of the Web-Assisted </w:t>
      </w:r>
      <w:r w:rsidR="00771B7C" w:rsidRPr="00475926">
        <w:rPr>
          <w:rFonts w:ascii="Arial" w:hAnsi="Arial" w:cs="Arial"/>
          <w:i/>
          <w:sz w:val="22"/>
          <w:szCs w:val="22"/>
        </w:rPr>
        <w:t xml:space="preserve">Notification of </w:t>
      </w:r>
      <w:r w:rsidRPr="00475926">
        <w:rPr>
          <w:rFonts w:ascii="Arial" w:hAnsi="Arial" w:cs="Arial"/>
          <w:i/>
          <w:sz w:val="22"/>
          <w:szCs w:val="22"/>
        </w:rPr>
        <w:t>Device</w:t>
      </w:r>
      <w:r w:rsidR="00771B7C" w:rsidRPr="00475926">
        <w:rPr>
          <w:rFonts w:ascii="Arial" w:hAnsi="Arial" w:cs="Arial"/>
          <w:i/>
          <w:sz w:val="22"/>
          <w:szCs w:val="22"/>
        </w:rPr>
        <w:t>s</w:t>
      </w:r>
      <w:r w:rsidRPr="00475926">
        <w:rPr>
          <w:rFonts w:ascii="Arial" w:hAnsi="Arial" w:cs="Arial"/>
          <w:i/>
          <w:sz w:val="22"/>
          <w:szCs w:val="22"/>
        </w:rPr>
        <w:t xml:space="preserve"> Database (WAND) </w:t>
      </w:r>
      <w:r w:rsidR="00F4338C" w:rsidRPr="00475926">
        <w:rPr>
          <w:rFonts w:ascii="Arial" w:hAnsi="Arial" w:cs="Arial"/>
          <w:i/>
          <w:sz w:val="22"/>
          <w:szCs w:val="22"/>
        </w:rPr>
        <w:t xml:space="preserve"> </w:t>
      </w:r>
    </w:p>
    <w:p w14:paraId="52330861" w14:textId="77777777" w:rsidR="004E17B2" w:rsidRPr="00475926" w:rsidRDefault="001B2417" w:rsidP="00FA04B5">
      <w:pPr>
        <w:pStyle w:val="ListParagraph"/>
        <w:spacing w:after="120"/>
        <w:contextualSpacing w:val="0"/>
        <w:rPr>
          <w:rFonts w:ascii="Arial" w:hAnsi="Arial" w:cs="Arial"/>
          <w:sz w:val="22"/>
          <w:szCs w:val="22"/>
          <w:lang w:val="en-US"/>
        </w:rPr>
      </w:pPr>
      <w:r w:rsidRPr="00475926">
        <w:rPr>
          <w:rFonts w:ascii="Arial" w:hAnsi="Arial" w:cs="Arial"/>
          <w:sz w:val="22"/>
          <w:szCs w:val="22"/>
          <w:lang w:val="en-US"/>
        </w:rPr>
        <w:t xml:space="preserve">The WAND database has provided an effective way of recording the medical devices available for supply in New Zealand and the associated sponsor responsible for the supply of the goods and post-market surveillance activities. </w:t>
      </w:r>
    </w:p>
    <w:p w14:paraId="0AD550ED" w14:textId="77777777" w:rsidR="001B2417" w:rsidRPr="00475926" w:rsidRDefault="001B2417" w:rsidP="00FA04B5">
      <w:pPr>
        <w:pStyle w:val="ListParagraph"/>
        <w:spacing w:after="120"/>
        <w:contextualSpacing w:val="0"/>
        <w:rPr>
          <w:rFonts w:ascii="Arial" w:hAnsi="Arial" w:cs="Arial"/>
          <w:sz w:val="22"/>
          <w:szCs w:val="22"/>
          <w:lang w:val="en-US"/>
        </w:rPr>
      </w:pPr>
      <w:r w:rsidRPr="00475926">
        <w:rPr>
          <w:rFonts w:ascii="Arial" w:hAnsi="Arial" w:cs="Arial"/>
          <w:sz w:val="22"/>
          <w:szCs w:val="22"/>
          <w:lang w:val="en-US"/>
        </w:rPr>
        <w:t xml:space="preserve">It is proposed that the WAND database be maintained and enhanced by the addition of evidence of certification/approval by a </w:t>
      </w:r>
      <w:r w:rsidR="004E17B2" w:rsidRPr="00475926">
        <w:rPr>
          <w:rFonts w:ascii="Arial" w:hAnsi="Arial" w:cs="Arial"/>
          <w:sz w:val="22"/>
          <w:szCs w:val="22"/>
          <w:lang w:val="en-US"/>
        </w:rPr>
        <w:t>designated</w:t>
      </w:r>
      <w:r w:rsidRPr="00475926">
        <w:rPr>
          <w:rFonts w:ascii="Arial" w:hAnsi="Arial" w:cs="Arial"/>
          <w:sz w:val="22"/>
          <w:szCs w:val="22"/>
          <w:lang w:val="en-US"/>
        </w:rPr>
        <w:t xml:space="preserve"> international regulatory authority/Notified Body. It is proposed that sponsors be required to undertake a thorough review of all WAND listings to remove any that are no longer required, to check and verify that the information in each entry is correct and current and attach appropriate evidence of conformity assessment or approval for each listing that covers the product in its scope.</w:t>
      </w:r>
    </w:p>
    <w:p w14:paraId="348E45DA" w14:textId="77777777" w:rsidR="00FB2287" w:rsidRPr="00475926" w:rsidRDefault="00156C71" w:rsidP="00FA04B5">
      <w:pPr>
        <w:autoSpaceDE w:val="0"/>
        <w:autoSpaceDN w:val="0"/>
        <w:adjustRightInd w:val="0"/>
        <w:spacing w:after="120"/>
        <w:ind w:left="720"/>
        <w:rPr>
          <w:rFonts w:ascii="Arial" w:hAnsi="Arial" w:cs="Arial"/>
          <w:color w:val="000000"/>
          <w:sz w:val="22"/>
          <w:szCs w:val="22"/>
        </w:rPr>
      </w:pPr>
      <w:r w:rsidRPr="00475926">
        <w:rPr>
          <w:rFonts w:ascii="Arial" w:hAnsi="Arial" w:cs="Arial"/>
          <w:color w:val="000000"/>
          <w:sz w:val="22"/>
          <w:szCs w:val="22"/>
        </w:rPr>
        <w:t>If regulatory authority was</w:t>
      </w:r>
      <w:r w:rsidR="00FB2287" w:rsidRPr="00475926">
        <w:rPr>
          <w:rFonts w:ascii="Arial" w:hAnsi="Arial" w:cs="Arial"/>
          <w:color w:val="000000"/>
          <w:sz w:val="22"/>
          <w:szCs w:val="22"/>
        </w:rPr>
        <w:t xml:space="preserve"> to maintain a ‘preferred’ Notified Body (NB) list (those that they have </w:t>
      </w:r>
      <w:r w:rsidR="00637999" w:rsidRPr="00475926">
        <w:rPr>
          <w:rFonts w:ascii="Arial" w:hAnsi="Arial" w:cs="Arial"/>
          <w:color w:val="000000"/>
          <w:sz w:val="22"/>
          <w:szCs w:val="22"/>
        </w:rPr>
        <w:t>designated</w:t>
      </w:r>
      <w:r w:rsidR="00FB2287" w:rsidRPr="00475926">
        <w:rPr>
          <w:rFonts w:ascii="Arial" w:hAnsi="Arial" w:cs="Arial"/>
          <w:color w:val="000000"/>
          <w:sz w:val="22"/>
          <w:szCs w:val="22"/>
        </w:rPr>
        <w:t>), then this would serve as a point of difference between those manufacturers using NBs</w:t>
      </w:r>
      <w:r w:rsidR="00FA04B5" w:rsidRPr="00475926">
        <w:rPr>
          <w:rFonts w:ascii="Arial" w:hAnsi="Arial" w:cs="Arial"/>
          <w:color w:val="000000"/>
          <w:sz w:val="22"/>
          <w:szCs w:val="22"/>
        </w:rPr>
        <w:t xml:space="preserve"> recognised as competent</w:t>
      </w:r>
      <w:r w:rsidR="00FB2287" w:rsidRPr="00475926">
        <w:rPr>
          <w:rFonts w:ascii="Arial" w:hAnsi="Arial" w:cs="Arial"/>
          <w:color w:val="000000"/>
          <w:sz w:val="22"/>
          <w:szCs w:val="22"/>
        </w:rPr>
        <w:t xml:space="preserve">, and those using NBs of </w:t>
      </w:r>
      <w:r w:rsidR="00FA04B5" w:rsidRPr="00475926">
        <w:rPr>
          <w:rFonts w:ascii="Arial" w:hAnsi="Arial" w:cs="Arial"/>
          <w:color w:val="000000"/>
          <w:sz w:val="22"/>
          <w:szCs w:val="22"/>
        </w:rPr>
        <w:t>un</w:t>
      </w:r>
      <w:r w:rsidR="00FB2287" w:rsidRPr="00475926">
        <w:rPr>
          <w:rFonts w:ascii="Arial" w:hAnsi="Arial" w:cs="Arial"/>
          <w:color w:val="000000"/>
          <w:sz w:val="22"/>
          <w:szCs w:val="22"/>
        </w:rPr>
        <w:t>known</w:t>
      </w:r>
      <w:r w:rsidR="00FA04B5" w:rsidRPr="00475926">
        <w:rPr>
          <w:rFonts w:ascii="Arial" w:hAnsi="Arial" w:cs="Arial"/>
          <w:color w:val="000000"/>
          <w:sz w:val="22"/>
          <w:szCs w:val="22"/>
        </w:rPr>
        <w:t xml:space="preserve"> competence</w:t>
      </w:r>
      <w:r w:rsidR="00637999" w:rsidRPr="00475926">
        <w:rPr>
          <w:rFonts w:ascii="Arial" w:hAnsi="Arial" w:cs="Arial"/>
          <w:color w:val="000000"/>
          <w:sz w:val="22"/>
          <w:szCs w:val="22"/>
        </w:rPr>
        <w:t>.</w:t>
      </w:r>
    </w:p>
    <w:p w14:paraId="511A870C" w14:textId="77777777" w:rsidR="00637999" w:rsidRPr="00475926" w:rsidRDefault="00637999" w:rsidP="00FA04B5">
      <w:pPr>
        <w:autoSpaceDE w:val="0"/>
        <w:autoSpaceDN w:val="0"/>
        <w:adjustRightInd w:val="0"/>
        <w:spacing w:after="120"/>
        <w:ind w:left="720"/>
        <w:rPr>
          <w:rFonts w:ascii="Arial" w:hAnsi="Arial" w:cs="Arial"/>
          <w:color w:val="000000"/>
          <w:sz w:val="22"/>
          <w:szCs w:val="22"/>
        </w:rPr>
      </w:pPr>
    </w:p>
    <w:p w14:paraId="01BBC2D0" w14:textId="77777777" w:rsidR="00423D3E" w:rsidRPr="00475926" w:rsidRDefault="00FB2287" w:rsidP="004C10C6">
      <w:pPr>
        <w:pStyle w:val="ListParagraph"/>
        <w:numPr>
          <w:ilvl w:val="0"/>
          <w:numId w:val="5"/>
        </w:numPr>
        <w:autoSpaceDE w:val="0"/>
        <w:autoSpaceDN w:val="0"/>
        <w:adjustRightInd w:val="0"/>
        <w:spacing w:after="120"/>
        <w:contextualSpacing w:val="0"/>
        <w:rPr>
          <w:rFonts w:ascii="Arial" w:hAnsi="Arial" w:cs="Arial"/>
          <w:sz w:val="22"/>
          <w:szCs w:val="22"/>
        </w:rPr>
      </w:pPr>
      <w:r w:rsidRPr="00475926">
        <w:rPr>
          <w:rFonts w:ascii="Arial" w:hAnsi="Arial" w:cs="Arial"/>
          <w:i/>
          <w:sz w:val="22"/>
          <w:szCs w:val="22"/>
        </w:rPr>
        <w:t xml:space="preserve">Regulatory approvals from other jurisdictions to be </w:t>
      </w:r>
      <w:r w:rsidR="00B22045" w:rsidRPr="00475926">
        <w:rPr>
          <w:rFonts w:ascii="Arial" w:hAnsi="Arial" w:cs="Arial"/>
          <w:i/>
          <w:sz w:val="22"/>
          <w:szCs w:val="22"/>
        </w:rPr>
        <w:t>utilised</w:t>
      </w:r>
      <w:r w:rsidR="00423D3E" w:rsidRPr="00475926">
        <w:rPr>
          <w:rFonts w:ascii="Arial" w:hAnsi="Arial" w:cs="Arial"/>
          <w:i/>
          <w:sz w:val="22"/>
          <w:szCs w:val="22"/>
        </w:rPr>
        <w:t xml:space="preserve"> </w:t>
      </w:r>
    </w:p>
    <w:p w14:paraId="1B2D44CF" w14:textId="77777777" w:rsidR="00423D3E" w:rsidRPr="00475926" w:rsidRDefault="00423D3E" w:rsidP="00FA04B5">
      <w:pPr>
        <w:autoSpaceDE w:val="0"/>
        <w:autoSpaceDN w:val="0"/>
        <w:adjustRightInd w:val="0"/>
        <w:spacing w:after="120"/>
        <w:ind w:left="720"/>
        <w:rPr>
          <w:rFonts w:ascii="Arial" w:hAnsi="Arial" w:cs="Arial"/>
          <w:sz w:val="22"/>
          <w:szCs w:val="22"/>
        </w:rPr>
      </w:pPr>
      <w:r w:rsidRPr="00475926">
        <w:rPr>
          <w:rFonts w:ascii="Arial" w:hAnsi="Arial" w:cs="Arial"/>
          <w:sz w:val="22"/>
          <w:szCs w:val="22"/>
        </w:rPr>
        <w:t xml:space="preserve">In addition to the generally accepted European CE certification, it is proposed to allow manufacturers to use other equivalent regulatory approvals from recognised competent regulators. </w:t>
      </w:r>
    </w:p>
    <w:p w14:paraId="32B5893A" w14:textId="77777777" w:rsidR="00423D3E" w:rsidRPr="00475926" w:rsidRDefault="00423D3E" w:rsidP="00FA04B5">
      <w:pPr>
        <w:autoSpaceDE w:val="0"/>
        <w:autoSpaceDN w:val="0"/>
        <w:adjustRightInd w:val="0"/>
        <w:spacing w:after="120"/>
        <w:ind w:firstLine="720"/>
        <w:rPr>
          <w:rFonts w:ascii="Arial" w:hAnsi="Arial" w:cs="Arial"/>
          <w:sz w:val="22"/>
          <w:szCs w:val="22"/>
        </w:rPr>
      </w:pPr>
      <w:r w:rsidRPr="00475926">
        <w:rPr>
          <w:rFonts w:ascii="Arial" w:hAnsi="Arial" w:cs="Arial"/>
          <w:sz w:val="22"/>
          <w:szCs w:val="22"/>
        </w:rPr>
        <w:t>For example, this could be in the form of:</w:t>
      </w:r>
    </w:p>
    <w:p w14:paraId="795E403F" w14:textId="77777777" w:rsidR="00423D3E" w:rsidRPr="00475926" w:rsidRDefault="00423D3E" w:rsidP="004C10C6">
      <w:pPr>
        <w:pStyle w:val="ListParagraph"/>
        <w:numPr>
          <w:ilvl w:val="0"/>
          <w:numId w:val="3"/>
        </w:numPr>
        <w:autoSpaceDE w:val="0"/>
        <w:autoSpaceDN w:val="0"/>
        <w:adjustRightInd w:val="0"/>
        <w:spacing w:after="120"/>
        <w:rPr>
          <w:rFonts w:ascii="Arial" w:hAnsi="Arial" w:cs="Arial"/>
          <w:color w:val="000000"/>
          <w:sz w:val="22"/>
          <w:szCs w:val="22"/>
        </w:rPr>
      </w:pPr>
      <w:r w:rsidRPr="00475926">
        <w:rPr>
          <w:rFonts w:ascii="Arial" w:hAnsi="Arial" w:cs="Arial"/>
          <w:color w:val="000000"/>
          <w:sz w:val="22"/>
          <w:szCs w:val="22"/>
        </w:rPr>
        <w:t>US FDA Pre-Market Approval (PMA) which is considered to be comparable to the European Design Examination (DE)</w:t>
      </w:r>
      <w:r w:rsidR="00387DE3" w:rsidRPr="00475926">
        <w:rPr>
          <w:rFonts w:ascii="Arial" w:hAnsi="Arial" w:cs="Arial"/>
          <w:color w:val="000000"/>
          <w:sz w:val="22"/>
          <w:szCs w:val="22"/>
        </w:rPr>
        <w:t>, together with US FDA 510K approvals for Class I/Is/Im/IIa/IIb medical devices.</w:t>
      </w:r>
    </w:p>
    <w:p w14:paraId="2FD3AA59" w14:textId="77777777" w:rsidR="00B22045" w:rsidRPr="00475926" w:rsidRDefault="00F96DF5" w:rsidP="004C10C6">
      <w:pPr>
        <w:pStyle w:val="ListParagraph"/>
        <w:numPr>
          <w:ilvl w:val="0"/>
          <w:numId w:val="3"/>
        </w:numPr>
        <w:autoSpaceDE w:val="0"/>
        <w:autoSpaceDN w:val="0"/>
        <w:adjustRightInd w:val="0"/>
        <w:spacing w:after="120"/>
        <w:rPr>
          <w:rFonts w:ascii="Arial" w:hAnsi="Arial" w:cs="Arial"/>
          <w:color w:val="000000"/>
          <w:sz w:val="22"/>
          <w:szCs w:val="22"/>
        </w:rPr>
      </w:pPr>
      <w:r w:rsidRPr="00475926">
        <w:rPr>
          <w:rFonts w:ascii="Arial" w:hAnsi="Arial" w:cs="Arial"/>
          <w:color w:val="000000"/>
          <w:sz w:val="22"/>
          <w:szCs w:val="22"/>
        </w:rPr>
        <w:t xml:space="preserve">Inclusion in the </w:t>
      </w:r>
      <w:r w:rsidR="00B22045" w:rsidRPr="00475926">
        <w:rPr>
          <w:rFonts w:ascii="Arial" w:hAnsi="Arial" w:cs="Arial"/>
          <w:color w:val="000000"/>
          <w:sz w:val="22"/>
          <w:szCs w:val="22"/>
        </w:rPr>
        <w:t>ARTG</w:t>
      </w:r>
      <w:r w:rsidRPr="00475926">
        <w:rPr>
          <w:rFonts w:ascii="Arial" w:hAnsi="Arial" w:cs="Arial"/>
          <w:color w:val="000000"/>
          <w:sz w:val="22"/>
          <w:szCs w:val="22"/>
        </w:rPr>
        <w:t xml:space="preserve"> from TGA</w:t>
      </w:r>
    </w:p>
    <w:p w14:paraId="663ADCBD" w14:textId="77777777" w:rsidR="00637999" w:rsidRPr="00475926" w:rsidRDefault="00423D3E" w:rsidP="004C10C6">
      <w:pPr>
        <w:pStyle w:val="ListParagraph"/>
        <w:numPr>
          <w:ilvl w:val="0"/>
          <w:numId w:val="3"/>
        </w:numPr>
        <w:autoSpaceDE w:val="0"/>
        <w:autoSpaceDN w:val="0"/>
        <w:adjustRightInd w:val="0"/>
        <w:spacing w:after="120"/>
        <w:rPr>
          <w:rFonts w:ascii="Arial" w:hAnsi="Arial" w:cs="Arial"/>
          <w:color w:val="000000"/>
          <w:sz w:val="22"/>
          <w:szCs w:val="22"/>
        </w:rPr>
      </w:pPr>
      <w:r w:rsidRPr="00475926">
        <w:rPr>
          <w:rFonts w:ascii="Arial" w:hAnsi="Arial" w:cs="Arial"/>
          <w:color w:val="000000"/>
          <w:sz w:val="22"/>
          <w:szCs w:val="22"/>
        </w:rPr>
        <w:t>Health Canada product licence</w:t>
      </w:r>
    </w:p>
    <w:p w14:paraId="7B3338A4" w14:textId="77777777" w:rsidR="00387DE3" w:rsidRPr="00475926" w:rsidRDefault="00387DE3" w:rsidP="00387DE3">
      <w:pPr>
        <w:autoSpaceDE w:val="0"/>
        <w:autoSpaceDN w:val="0"/>
        <w:adjustRightInd w:val="0"/>
        <w:spacing w:after="120"/>
        <w:ind w:left="720"/>
        <w:rPr>
          <w:rFonts w:ascii="Arial" w:hAnsi="Arial" w:cs="Arial"/>
          <w:color w:val="000000"/>
          <w:sz w:val="22"/>
          <w:szCs w:val="22"/>
        </w:rPr>
      </w:pPr>
      <w:r w:rsidRPr="00475926">
        <w:rPr>
          <w:rFonts w:ascii="Arial" w:hAnsi="Arial" w:cs="Arial"/>
          <w:color w:val="000000"/>
          <w:sz w:val="22"/>
          <w:szCs w:val="22"/>
        </w:rPr>
        <w:t xml:space="preserve">Similar approvals should be accepted from the USA, Australia and Canada (and, in the future, Europe) for IVD medical devices. </w:t>
      </w:r>
    </w:p>
    <w:p w14:paraId="7710E0B0" w14:textId="77777777" w:rsidR="00BB6753" w:rsidRPr="00475926" w:rsidRDefault="00FA04B5" w:rsidP="00387DE3">
      <w:pPr>
        <w:autoSpaceDE w:val="0"/>
        <w:autoSpaceDN w:val="0"/>
        <w:adjustRightInd w:val="0"/>
        <w:spacing w:after="120"/>
        <w:ind w:left="720"/>
        <w:rPr>
          <w:rFonts w:ascii="Arial" w:hAnsi="Arial" w:cs="Arial"/>
          <w:color w:val="000000"/>
          <w:sz w:val="22"/>
          <w:szCs w:val="22"/>
        </w:rPr>
      </w:pPr>
      <w:r w:rsidRPr="00475926">
        <w:rPr>
          <w:rFonts w:ascii="Arial" w:hAnsi="Arial" w:cs="Arial"/>
          <w:color w:val="000000"/>
          <w:sz w:val="22"/>
          <w:szCs w:val="22"/>
        </w:rPr>
        <w:t xml:space="preserve">    </w:t>
      </w:r>
    </w:p>
    <w:p w14:paraId="5D88BC8B" w14:textId="77777777" w:rsidR="00BB6753" w:rsidRPr="00475926" w:rsidRDefault="00156C71" w:rsidP="004C10C6">
      <w:pPr>
        <w:pStyle w:val="ListParagraph"/>
        <w:numPr>
          <w:ilvl w:val="0"/>
          <w:numId w:val="5"/>
        </w:numPr>
        <w:spacing w:after="120"/>
        <w:contextualSpacing w:val="0"/>
        <w:rPr>
          <w:rFonts w:ascii="Arial" w:hAnsi="Arial" w:cs="Arial"/>
          <w:i/>
          <w:sz w:val="22"/>
          <w:szCs w:val="22"/>
        </w:rPr>
      </w:pPr>
      <w:r w:rsidRPr="00475926">
        <w:rPr>
          <w:rFonts w:ascii="Arial" w:hAnsi="Arial" w:cs="Arial"/>
          <w:i/>
          <w:sz w:val="22"/>
          <w:szCs w:val="22"/>
        </w:rPr>
        <w:t>The regulatory authority</w:t>
      </w:r>
      <w:r w:rsidR="00BB6753" w:rsidRPr="00475926">
        <w:rPr>
          <w:rFonts w:ascii="Arial" w:hAnsi="Arial" w:cs="Arial"/>
          <w:i/>
          <w:sz w:val="22"/>
          <w:szCs w:val="22"/>
        </w:rPr>
        <w:t xml:space="preserve"> to focus resources to post-monitoring and compliance</w:t>
      </w:r>
    </w:p>
    <w:p w14:paraId="61B5FD08" w14:textId="77777777" w:rsidR="00BB6753" w:rsidRPr="00475926" w:rsidRDefault="00BB6753" w:rsidP="00FA04B5">
      <w:pPr>
        <w:spacing w:after="120"/>
        <w:ind w:left="720"/>
        <w:rPr>
          <w:rFonts w:ascii="Arial" w:hAnsi="Arial" w:cs="Arial"/>
          <w:sz w:val="22"/>
          <w:szCs w:val="22"/>
        </w:rPr>
      </w:pPr>
      <w:r w:rsidRPr="00475926">
        <w:rPr>
          <w:rFonts w:ascii="Arial" w:hAnsi="Arial" w:cs="Arial"/>
          <w:sz w:val="22"/>
          <w:szCs w:val="22"/>
        </w:rPr>
        <w:t>The basic principle of a post market system is to trend and monitor events that cause serious injury or death or have the potential to cause serious injury or death on reoccurrence, and to ensure these events are reported to the regulator.</w:t>
      </w:r>
    </w:p>
    <w:p w14:paraId="1DB90243" w14:textId="77777777" w:rsidR="00BB6753" w:rsidRPr="00475926" w:rsidRDefault="00BB6753" w:rsidP="00FA04B5">
      <w:pPr>
        <w:spacing w:after="120"/>
        <w:ind w:left="720"/>
        <w:rPr>
          <w:rFonts w:ascii="Arial" w:hAnsi="Arial" w:cs="Arial"/>
          <w:sz w:val="22"/>
          <w:szCs w:val="22"/>
        </w:rPr>
      </w:pPr>
      <w:r w:rsidRPr="00475926">
        <w:rPr>
          <w:rFonts w:ascii="Arial" w:hAnsi="Arial" w:cs="Arial"/>
          <w:sz w:val="22"/>
          <w:szCs w:val="22"/>
        </w:rPr>
        <w:t xml:space="preserve">No amount of rigour in the pre-market review process can predict all possible device failures or incidents arising from device misuse. It is through actual use that unforeseen problems related to safety and performance can occur. Increasingly, more emphasis is being placed on post-market surveillance and vigilance and its input into risk management. Rather than heavily resource assessment of pre-market requirements, </w:t>
      </w:r>
      <w:r w:rsidR="0064024D" w:rsidRPr="00475926">
        <w:rPr>
          <w:rFonts w:ascii="Arial" w:hAnsi="Arial" w:cs="Arial"/>
          <w:sz w:val="22"/>
          <w:szCs w:val="22"/>
        </w:rPr>
        <w:t xml:space="preserve">there should be an appropriate balance of resources </w:t>
      </w:r>
      <w:r w:rsidRPr="00475926">
        <w:rPr>
          <w:rFonts w:ascii="Arial" w:hAnsi="Arial" w:cs="Arial"/>
          <w:sz w:val="22"/>
          <w:szCs w:val="22"/>
        </w:rPr>
        <w:t>directed to post market activities.</w:t>
      </w:r>
    </w:p>
    <w:p w14:paraId="5D987C76" w14:textId="77777777" w:rsidR="00BB6753" w:rsidRPr="00475926" w:rsidRDefault="00BB6753" w:rsidP="00FA04B5">
      <w:pPr>
        <w:spacing w:after="120"/>
        <w:ind w:left="720"/>
        <w:rPr>
          <w:rFonts w:ascii="Arial" w:hAnsi="Arial" w:cs="Arial"/>
          <w:sz w:val="22"/>
          <w:szCs w:val="22"/>
        </w:rPr>
      </w:pPr>
      <w:r w:rsidRPr="00475926">
        <w:rPr>
          <w:rFonts w:ascii="Arial" w:hAnsi="Arial" w:cs="Arial"/>
          <w:sz w:val="22"/>
          <w:szCs w:val="22"/>
        </w:rPr>
        <w:t>Post-market surveillance ensures that medical devices in use continue to be safe and effective and this requires shared responsibility by all stakeholders. Shared responsibility includes communication and participa</w:t>
      </w:r>
      <w:r w:rsidR="0064024D" w:rsidRPr="00475926">
        <w:rPr>
          <w:rFonts w:ascii="Arial" w:hAnsi="Arial" w:cs="Arial"/>
          <w:sz w:val="22"/>
          <w:szCs w:val="22"/>
        </w:rPr>
        <w:t>tion by the manufacturer, sponsor</w:t>
      </w:r>
      <w:r w:rsidRPr="00475926">
        <w:rPr>
          <w:rFonts w:ascii="Arial" w:hAnsi="Arial" w:cs="Arial"/>
          <w:sz w:val="22"/>
          <w:szCs w:val="22"/>
        </w:rPr>
        <w:t xml:space="preserve">, </w:t>
      </w:r>
      <w:r w:rsidR="0064024D" w:rsidRPr="00475926">
        <w:rPr>
          <w:rFonts w:ascii="Arial" w:hAnsi="Arial" w:cs="Arial"/>
          <w:sz w:val="22"/>
          <w:szCs w:val="22"/>
        </w:rPr>
        <w:t xml:space="preserve">distributor, </w:t>
      </w:r>
      <w:r w:rsidRPr="00475926">
        <w:rPr>
          <w:rFonts w:ascii="Arial" w:hAnsi="Arial" w:cs="Arial"/>
          <w:sz w:val="22"/>
          <w:szCs w:val="22"/>
        </w:rPr>
        <w:t>government, user and the patient.</w:t>
      </w:r>
    </w:p>
    <w:p w14:paraId="3DEB9694" w14:textId="77777777" w:rsidR="00112D84" w:rsidRPr="00475926" w:rsidRDefault="00112D84" w:rsidP="00FA04B5">
      <w:pPr>
        <w:spacing w:after="120"/>
        <w:ind w:left="720"/>
        <w:rPr>
          <w:rFonts w:ascii="Arial" w:hAnsi="Arial" w:cs="Arial"/>
          <w:sz w:val="22"/>
          <w:szCs w:val="22"/>
        </w:rPr>
      </w:pPr>
      <w:r w:rsidRPr="00475926">
        <w:rPr>
          <w:rFonts w:ascii="Arial" w:hAnsi="Arial" w:cs="Arial"/>
          <w:sz w:val="22"/>
          <w:szCs w:val="22"/>
        </w:rPr>
        <w:t>Currently adverse events are reported to Medsafe and an investigation of the alleged adverse event, relating to the device, is conducted by the manufacturer. Medsafe does review these reports and provides feedback to the manufacturer as required. The system is working as desired to ensure safe and effective use of the devices.</w:t>
      </w:r>
    </w:p>
    <w:p w14:paraId="11FC9232" w14:textId="77777777" w:rsidR="003B1295" w:rsidRPr="00475926" w:rsidRDefault="00BB6753" w:rsidP="00F0685F">
      <w:pPr>
        <w:spacing w:after="120"/>
        <w:ind w:left="720"/>
        <w:rPr>
          <w:rFonts w:ascii="Arial" w:hAnsi="Arial" w:cs="Arial"/>
          <w:sz w:val="22"/>
          <w:szCs w:val="22"/>
        </w:rPr>
      </w:pPr>
      <w:r w:rsidRPr="00475926">
        <w:rPr>
          <w:rFonts w:ascii="Arial" w:hAnsi="Arial" w:cs="Arial"/>
          <w:sz w:val="22"/>
          <w:szCs w:val="22"/>
        </w:rPr>
        <w:t xml:space="preserve">In extreme cases, dependent upon the outcome of the investigation and risk of the adverse event in relation to patient safety, the manufacturer may be required to conduct a field action. </w:t>
      </w:r>
    </w:p>
    <w:p w14:paraId="21814742" w14:textId="77777777" w:rsidR="00F0685F" w:rsidRPr="00475926" w:rsidRDefault="00F0685F" w:rsidP="00F0685F">
      <w:pPr>
        <w:spacing w:after="120"/>
        <w:ind w:left="720"/>
        <w:rPr>
          <w:rFonts w:ascii="Arial" w:hAnsi="Arial" w:cs="Arial"/>
          <w:sz w:val="22"/>
          <w:szCs w:val="22"/>
        </w:rPr>
      </w:pPr>
    </w:p>
    <w:p w14:paraId="77976034" w14:textId="77777777" w:rsidR="00026F0D" w:rsidRPr="00475926" w:rsidRDefault="00026F0D" w:rsidP="004C10C6">
      <w:pPr>
        <w:pStyle w:val="ListParagraph"/>
        <w:numPr>
          <w:ilvl w:val="0"/>
          <w:numId w:val="5"/>
        </w:numPr>
        <w:spacing w:after="120"/>
        <w:contextualSpacing w:val="0"/>
        <w:rPr>
          <w:rFonts w:ascii="Arial" w:hAnsi="Arial" w:cs="Arial"/>
          <w:i/>
          <w:sz w:val="22"/>
          <w:szCs w:val="22"/>
        </w:rPr>
      </w:pPr>
      <w:r w:rsidRPr="00475926">
        <w:rPr>
          <w:rFonts w:ascii="Arial" w:hAnsi="Arial" w:cs="Arial"/>
          <w:i/>
          <w:sz w:val="22"/>
          <w:szCs w:val="22"/>
        </w:rPr>
        <w:t>Transition period</w:t>
      </w:r>
    </w:p>
    <w:p w14:paraId="055291B2" w14:textId="77777777" w:rsidR="00026F0D" w:rsidRPr="00475926" w:rsidRDefault="00026F0D" w:rsidP="00026F0D">
      <w:pPr>
        <w:spacing w:after="120"/>
        <w:ind w:left="720"/>
        <w:rPr>
          <w:rFonts w:ascii="Arial" w:hAnsi="Arial" w:cs="Arial"/>
          <w:sz w:val="22"/>
          <w:szCs w:val="22"/>
        </w:rPr>
      </w:pPr>
      <w:r w:rsidRPr="00475926">
        <w:rPr>
          <w:rFonts w:ascii="Arial" w:hAnsi="Arial" w:cs="Arial"/>
          <w:sz w:val="22"/>
          <w:szCs w:val="22"/>
        </w:rPr>
        <w:t xml:space="preserve">Whether the above mode of registering medical devices in New Zealand, or an alternate framework, is adopted, it will be important to allow an adequate transition period within which the industry must comply with the new regulations for products that are on the market immediately prior to the new Regulations coming into force. Given the impact, not only to industry, but also the Regulator, a period of </w:t>
      </w:r>
      <w:r w:rsidRPr="00475926">
        <w:rPr>
          <w:rFonts w:ascii="Arial" w:hAnsi="Arial" w:cs="Arial"/>
          <w:i/>
          <w:sz w:val="22"/>
          <w:szCs w:val="22"/>
        </w:rPr>
        <w:t xml:space="preserve">five </w:t>
      </w:r>
      <w:r w:rsidRPr="00475926">
        <w:rPr>
          <w:rFonts w:ascii="Arial" w:hAnsi="Arial" w:cs="Arial"/>
          <w:sz w:val="22"/>
          <w:szCs w:val="22"/>
        </w:rPr>
        <w:t xml:space="preserve">years should be considered appropriate. Further, there should be no additional costs associated with transitioning products to the new framework as this could act as a disincentive to register existing products early in the transition period.  </w:t>
      </w:r>
    </w:p>
    <w:p w14:paraId="4BAC153B" w14:textId="77777777" w:rsidR="00F0685F" w:rsidRPr="00475926" w:rsidRDefault="00F0685F" w:rsidP="00026F0D">
      <w:pPr>
        <w:spacing w:after="120"/>
        <w:ind w:left="720"/>
        <w:rPr>
          <w:rFonts w:ascii="Arial" w:hAnsi="Arial" w:cs="Arial"/>
          <w:sz w:val="22"/>
          <w:szCs w:val="22"/>
        </w:rPr>
      </w:pPr>
    </w:p>
    <w:p w14:paraId="23B761C9" w14:textId="77777777" w:rsidR="003B1295" w:rsidRPr="00475926" w:rsidRDefault="003B1295" w:rsidP="004C10C6">
      <w:pPr>
        <w:pStyle w:val="ListParagraph"/>
        <w:numPr>
          <w:ilvl w:val="0"/>
          <w:numId w:val="5"/>
        </w:numPr>
        <w:spacing w:after="120"/>
        <w:contextualSpacing w:val="0"/>
        <w:rPr>
          <w:rFonts w:ascii="Arial" w:hAnsi="Arial" w:cs="Arial"/>
          <w:i/>
          <w:sz w:val="22"/>
          <w:szCs w:val="22"/>
        </w:rPr>
      </w:pPr>
      <w:r w:rsidRPr="00475926">
        <w:rPr>
          <w:rFonts w:ascii="Arial" w:hAnsi="Arial" w:cs="Arial"/>
          <w:i/>
          <w:sz w:val="22"/>
          <w:szCs w:val="22"/>
        </w:rPr>
        <w:t xml:space="preserve">A regulatory scheme that is limited to efficiency costs only </w:t>
      </w:r>
    </w:p>
    <w:p w14:paraId="4D2F1E55" w14:textId="77777777" w:rsidR="003B1295" w:rsidRPr="00475926" w:rsidRDefault="008230E9" w:rsidP="00FA04B5">
      <w:pPr>
        <w:autoSpaceDE w:val="0"/>
        <w:autoSpaceDN w:val="0"/>
        <w:adjustRightInd w:val="0"/>
        <w:spacing w:after="120"/>
        <w:ind w:left="720"/>
        <w:rPr>
          <w:rFonts w:ascii="Arial" w:hAnsi="Arial" w:cs="Arial"/>
          <w:color w:val="000000"/>
          <w:sz w:val="22"/>
          <w:szCs w:val="22"/>
        </w:rPr>
      </w:pPr>
      <w:r w:rsidRPr="00475926">
        <w:rPr>
          <w:rFonts w:ascii="Arial" w:hAnsi="Arial" w:cs="Arial"/>
          <w:color w:val="000000"/>
          <w:sz w:val="22"/>
          <w:szCs w:val="22"/>
        </w:rPr>
        <w:t xml:space="preserve">A New Zealand regulator should not have </w:t>
      </w:r>
      <w:r w:rsidR="003B1295" w:rsidRPr="00475926">
        <w:rPr>
          <w:rFonts w:ascii="Arial" w:hAnsi="Arial" w:cs="Arial"/>
          <w:color w:val="000000"/>
          <w:sz w:val="22"/>
          <w:szCs w:val="22"/>
        </w:rPr>
        <w:t>automatic access to industry f</w:t>
      </w:r>
      <w:r w:rsidRPr="00475926">
        <w:rPr>
          <w:rFonts w:ascii="Arial" w:hAnsi="Arial" w:cs="Arial"/>
          <w:color w:val="000000"/>
          <w:sz w:val="22"/>
          <w:szCs w:val="22"/>
        </w:rPr>
        <w:t xml:space="preserve">unding revenue, but </w:t>
      </w:r>
      <w:r w:rsidR="003B1295" w:rsidRPr="00475926">
        <w:rPr>
          <w:rFonts w:ascii="Arial" w:hAnsi="Arial" w:cs="Arial"/>
          <w:color w:val="000000"/>
          <w:sz w:val="22"/>
          <w:szCs w:val="22"/>
        </w:rPr>
        <w:t>seek funds from Parliament through normal budgetary processes</w:t>
      </w:r>
      <w:r w:rsidRPr="00475926">
        <w:rPr>
          <w:rFonts w:ascii="Arial" w:hAnsi="Arial" w:cs="Arial"/>
          <w:color w:val="000000"/>
          <w:sz w:val="22"/>
          <w:szCs w:val="22"/>
        </w:rPr>
        <w:t xml:space="preserve"> using efficiency dividends, benchmarking and market testing third party competition. </w:t>
      </w:r>
      <w:r w:rsidR="0064024D" w:rsidRPr="00475926">
        <w:rPr>
          <w:rFonts w:ascii="Arial" w:hAnsi="Arial" w:cs="Arial"/>
          <w:color w:val="000000"/>
          <w:sz w:val="22"/>
          <w:szCs w:val="22"/>
        </w:rPr>
        <w:t>The protection of health and welfare of the New Zealand population should be a shared responsibility between Government and the industry.</w:t>
      </w:r>
    </w:p>
    <w:p w14:paraId="23AB7334" w14:textId="77777777" w:rsidR="003B1295" w:rsidRPr="00475926" w:rsidRDefault="00210972" w:rsidP="00FA04B5">
      <w:pPr>
        <w:autoSpaceDE w:val="0"/>
        <w:autoSpaceDN w:val="0"/>
        <w:adjustRightInd w:val="0"/>
        <w:spacing w:after="120"/>
        <w:ind w:left="720"/>
        <w:rPr>
          <w:rFonts w:ascii="Arial" w:hAnsi="Arial" w:cs="Arial"/>
          <w:color w:val="000000"/>
          <w:sz w:val="22"/>
          <w:szCs w:val="22"/>
        </w:rPr>
      </w:pPr>
      <w:r w:rsidRPr="00475926">
        <w:rPr>
          <w:rFonts w:ascii="Arial" w:hAnsi="Arial" w:cs="Arial"/>
          <w:color w:val="000000"/>
          <w:sz w:val="22"/>
          <w:szCs w:val="22"/>
        </w:rPr>
        <w:t>Governance issues should include a</w:t>
      </w:r>
      <w:r w:rsidR="008230E9" w:rsidRPr="00475926">
        <w:rPr>
          <w:rFonts w:ascii="Arial" w:hAnsi="Arial" w:cs="Arial"/>
          <w:color w:val="000000"/>
          <w:sz w:val="22"/>
          <w:szCs w:val="22"/>
        </w:rPr>
        <w:t xml:space="preserve"> require</w:t>
      </w:r>
      <w:r w:rsidRPr="00475926">
        <w:rPr>
          <w:rFonts w:ascii="Arial" w:hAnsi="Arial" w:cs="Arial"/>
          <w:color w:val="000000"/>
          <w:sz w:val="22"/>
          <w:szCs w:val="22"/>
        </w:rPr>
        <w:t>ment</w:t>
      </w:r>
      <w:r w:rsidR="003B1295" w:rsidRPr="00475926">
        <w:rPr>
          <w:rFonts w:ascii="Arial" w:hAnsi="Arial" w:cs="Arial"/>
          <w:color w:val="000000"/>
          <w:sz w:val="22"/>
          <w:szCs w:val="22"/>
        </w:rPr>
        <w:t xml:space="preserve"> to operate through a consultative committee that encompasses stakeholder representation, an independent chairman, an ability to monitor agency efficiency, access to adequate information and transparent reporting processes. </w:t>
      </w:r>
      <w:r w:rsidR="008230E9" w:rsidRPr="00475926">
        <w:rPr>
          <w:rFonts w:ascii="Arial" w:hAnsi="Arial" w:cs="Arial"/>
          <w:color w:val="000000"/>
          <w:sz w:val="22"/>
          <w:szCs w:val="22"/>
        </w:rPr>
        <w:t>There needs to i</w:t>
      </w:r>
      <w:r w:rsidR="003B1295" w:rsidRPr="00475926">
        <w:rPr>
          <w:rFonts w:ascii="Arial" w:hAnsi="Arial" w:cs="Arial"/>
          <w:sz w:val="22"/>
          <w:szCs w:val="22"/>
        </w:rPr>
        <w:t xml:space="preserve">ndependent reviews of industry funding arrangements and independent dispute resolution processes </w:t>
      </w:r>
    </w:p>
    <w:p w14:paraId="036F60F2" w14:textId="77777777" w:rsidR="00BB6753" w:rsidRPr="00475926" w:rsidRDefault="008230E9" w:rsidP="00FA04B5">
      <w:pPr>
        <w:autoSpaceDE w:val="0"/>
        <w:autoSpaceDN w:val="0"/>
        <w:adjustRightInd w:val="0"/>
        <w:spacing w:after="120"/>
        <w:ind w:left="720"/>
        <w:rPr>
          <w:rFonts w:ascii="Arial" w:hAnsi="Arial" w:cs="Arial"/>
          <w:sz w:val="22"/>
          <w:szCs w:val="22"/>
        </w:rPr>
      </w:pPr>
      <w:r w:rsidRPr="00475926">
        <w:rPr>
          <w:rFonts w:ascii="Arial" w:hAnsi="Arial" w:cs="Arial"/>
          <w:sz w:val="22"/>
          <w:szCs w:val="22"/>
        </w:rPr>
        <w:t>A process of m</w:t>
      </w:r>
      <w:r w:rsidR="003B1295" w:rsidRPr="00475926">
        <w:rPr>
          <w:rFonts w:ascii="Arial" w:hAnsi="Arial" w:cs="Arial"/>
          <w:sz w:val="22"/>
          <w:szCs w:val="22"/>
        </w:rPr>
        <w:t>easurable performance targets fo</w:t>
      </w:r>
      <w:r w:rsidRPr="00475926">
        <w:rPr>
          <w:rFonts w:ascii="Arial" w:hAnsi="Arial" w:cs="Arial"/>
          <w:sz w:val="22"/>
          <w:szCs w:val="22"/>
        </w:rPr>
        <w:t xml:space="preserve">r the provision of the regulatory </w:t>
      </w:r>
      <w:r w:rsidR="003B1295" w:rsidRPr="00475926">
        <w:rPr>
          <w:rFonts w:ascii="Arial" w:hAnsi="Arial" w:cs="Arial"/>
          <w:sz w:val="22"/>
          <w:szCs w:val="22"/>
        </w:rPr>
        <w:t>services, includin</w:t>
      </w:r>
      <w:r w:rsidR="002D7D7B">
        <w:rPr>
          <w:rFonts w:ascii="Arial" w:hAnsi="Arial" w:cs="Arial"/>
          <w:sz w:val="22"/>
          <w:szCs w:val="22"/>
        </w:rPr>
        <w:t xml:space="preserve">g penalties for non-performance would have to be part of any regulatory scheme to ensure timely assessments are completed. </w:t>
      </w:r>
    </w:p>
    <w:p w14:paraId="62E6C93A" w14:textId="77777777" w:rsidR="00AE4F76" w:rsidRPr="00475926" w:rsidRDefault="00AE4F76" w:rsidP="00FA04B5">
      <w:pPr>
        <w:spacing w:after="120"/>
        <w:rPr>
          <w:rFonts w:ascii="Arial" w:hAnsi="Arial" w:cs="Arial"/>
          <w:sz w:val="22"/>
          <w:szCs w:val="22"/>
        </w:rPr>
      </w:pPr>
    </w:p>
    <w:p w14:paraId="4AC2A171" w14:textId="77777777" w:rsidR="000F0A56" w:rsidRPr="00475926" w:rsidRDefault="00AE4F76" w:rsidP="00FA04B5">
      <w:pPr>
        <w:spacing w:after="120"/>
        <w:rPr>
          <w:rFonts w:ascii="Arial" w:hAnsi="Arial" w:cs="Arial"/>
          <w:color w:val="000000"/>
          <w:sz w:val="22"/>
          <w:szCs w:val="22"/>
        </w:rPr>
      </w:pPr>
      <w:r w:rsidRPr="00475926">
        <w:rPr>
          <w:rFonts w:ascii="Arial" w:hAnsi="Arial" w:cs="Arial"/>
          <w:color w:val="000000"/>
          <w:sz w:val="22"/>
          <w:szCs w:val="22"/>
        </w:rPr>
        <w:t>While any new regulations would need to make reference to the conducting of clinical trials and articulate advertising principles for medical devices, the current New Zealand processes for both are already well defined and are appropriate for the New Zealand market.</w:t>
      </w:r>
    </w:p>
    <w:p w14:paraId="27B8510E" w14:textId="77777777" w:rsidR="000F0A56" w:rsidRPr="00475926" w:rsidRDefault="000F0A56" w:rsidP="00FA04B5">
      <w:pPr>
        <w:spacing w:after="120"/>
        <w:rPr>
          <w:rFonts w:ascii="Arial" w:hAnsi="Arial" w:cs="Arial"/>
          <w:color w:val="000000"/>
          <w:sz w:val="22"/>
          <w:szCs w:val="22"/>
        </w:rPr>
      </w:pPr>
    </w:p>
    <w:p w14:paraId="650A5A3A" w14:textId="77777777" w:rsidR="00AE4F76" w:rsidRPr="00475926" w:rsidRDefault="00AE4F76" w:rsidP="00FA04B5">
      <w:pPr>
        <w:spacing w:after="120"/>
        <w:rPr>
          <w:rFonts w:ascii="Arial" w:hAnsi="Arial" w:cs="Arial"/>
          <w:b/>
          <w:color w:val="000000"/>
          <w:sz w:val="24"/>
          <w:szCs w:val="24"/>
        </w:rPr>
      </w:pPr>
      <w:r w:rsidRPr="00FA04B5">
        <w:rPr>
          <w:rFonts w:ascii="Arial" w:hAnsi="Arial" w:cs="Arial"/>
          <w:b/>
          <w:color w:val="000000"/>
        </w:rPr>
        <w:t xml:space="preserve"> 8       </w:t>
      </w:r>
      <w:r w:rsidRPr="00475926">
        <w:rPr>
          <w:rFonts w:ascii="Arial" w:hAnsi="Arial" w:cs="Arial"/>
          <w:b/>
          <w:color w:val="000000"/>
          <w:sz w:val="24"/>
          <w:szCs w:val="24"/>
        </w:rPr>
        <w:t>Conclusions</w:t>
      </w:r>
    </w:p>
    <w:p w14:paraId="59346299" w14:textId="77777777" w:rsidR="00AE4F76" w:rsidRPr="00475926" w:rsidRDefault="00AE4F76" w:rsidP="00FA04B5">
      <w:pPr>
        <w:spacing w:after="120"/>
        <w:rPr>
          <w:rFonts w:ascii="Arial" w:hAnsi="Arial" w:cs="Arial"/>
          <w:sz w:val="22"/>
          <w:szCs w:val="22"/>
        </w:rPr>
      </w:pPr>
      <w:r w:rsidRPr="00475926">
        <w:rPr>
          <w:rFonts w:ascii="Arial" w:hAnsi="Arial" w:cs="Arial"/>
          <w:sz w:val="22"/>
          <w:szCs w:val="22"/>
        </w:rPr>
        <w:t>MTANZ believes the proposals put forward in this paper will help support a New Zealand regulatory scheme for medical devices that is efficient and effective for New Zealand. It is impo</w:t>
      </w:r>
      <w:r w:rsidR="00165783" w:rsidRPr="00475926">
        <w:rPr>
          <w:rFonts w:ascii="Arial" w:hAnsi="Arial" w:cs="Arial"/>
          <w:sz w:val="22"/>
          <w:szCs w:val="22"/>
        </w:rPr>
        <w:t>rtant the New Zealand public has</w:t>
      </w:r>
      <w:r w:rsidRPr="00475926">
        <w:rPr>
          <w:rFonts w:ascii="Arial" w:hAnsi="Arial" w:cs="Arial"/>
          <w:sz w:val="22"/>
          <w:szCs w:val="22"/>
        </w:rPr>
        <w:t xml:space="preserve"> confidence in the safety and performance of </w:t>
      </w:r>
      <w:r w:rsidR="00165783" w:rsidRPr="00475926">
        <w:rPr>
          <w:rFonts w:ascii="Arial" w:hAnsi="Arial" w:cs="Arial"/>
          <w:sz w:val="22"/>
          <w:szCs w:val="22"/>
        </w:rPr>
        <w:t xml:space="preserve">medical devices supplied to </w:t>
      </w:r>
      <w:r w:rsidRPr="00475926">
        <w:rPr>
          <w:rFonts w:ascii="Arial" w:hAnsi="Arial" w:cs="Arial"/>
          <w:sz w:val="22"/>
          <w:szCs w:val="22"/>
        </w:rPr>
        <w:t xml:space="preserve">the domestic market and that </w:t>
      </w:r>
      <w:r w:rsidR="00165783" w:rsidRPr="00475926">
        <w:rPr>
          <w:rFonts w:ascii="Arial" w:hAnsi="Arial" w:cs="Arial"/>
          <w:sz w:val="22"/>
          <w:szCs w:val="22"/>
        </w:rPr>
        <w:t>the regulatory scheme supports the research, development and manufacturing of medical devices in New Zealand</w:t>
      </w:r>
      <w:r w:rsidR="00026F0D" w:rsidRPr="00475926">
        <w:rPr>
          <w:rFonts w:ascii="Arial" w:hAnsi="Arial" w:cs="Arial"/>
          <w:sz w:val="22"/>
          <w:szCs w:val="22"/>
        </w:rPr>
        <w:t>.</w:t>
      </w:r>
    </w:p>
    <w:p w14:paraId="49B76744" w14:textId="77777777" w:rsidR="00026F0D" w:rsidRPr="00475926" w:rsidRDefault="00026F0D" w:rsidP="00FA04B5">
      <w:pPr>
        <w:spacing w:after="120"/>
        <w:rPr>
          <w:rFonts w:ascii="Arial" w:hAnsi="Arial" w:cs="Arial"/>
          <w:sz w:val="22"/>
          <w:szCs w:val="22"/>
        </w:rPr>
      </w:pPr>
      <w:r w:rsidRPr="00475926">
        <w:rPr>
          <w:rFonts w:ascii="Arial" w:hAnsi="Arial" w:cs="Arial"/>
          <w:sz w:val="22"/>
          <w:szCs w:val="22"/>
        </w:rPr>
        <w:t xml:space="preserve">It is to be noted that the WAND notification process for medical devices was established in 2004 to capture products on the New Zealand market. It has been a low “touch” scheme and has not historically led to any issues regarding public health and safety that have not impacted other regulated markets ( such as Australia and Europe). As such, it would appear that this </w:t>
      </w:r>
      <w:r w:rsidR="00E17795" w:rsidRPr="00475926">
        <w:rPr>
          <w:rFonts w:ascii="Arial" w:hAnsi="Arial" w:cs="Arial"/>
          <w:sz w:val="22"/>
          <w:szCs w:val="22"/>
        </w:rPr>
        <w:t xml:space="preserve">“White Paper” </w:t>
      </w:r>
      <w:r w:rsidRPr="00475926">
        <w:rPr>
          <w:rFonts w:ascii="Arial" w:hAnsi="Arial" w:cs="Arial"/>
          <w:sz w:val="22"/>
          <w:szCs w:val="22"/>
        </w:rPr>
        <w:t xml:space="preserve">proposal offers an appropriate balance of risk and benefit for a New Zealand regulatory scheme.  </w:t>
      </w:r>
    </w:p>
    <w:p w14:paraId="1C0173D2" w14:textId="77777777" w:rsidR="00FB2287" w:rsidRPr="00475926" w:rsidRDefault="00165783" w:rsidP="00FA04B5">
      <w:pPr>
        <w:autoSpaceDE w:val="0"/>
        <w:autoSpaceDN w:val="0"/>
        <w:adjustRightInd w:val="0"/>
        <w:spacing w:after="120"/>
        <w:rPr>
          <w:rFonts w:ascii="Arial" w:hAnsi="Arial" w:cs="Arial"/>
          <w:color w:val="000000"/>
          <w:sz w:val="22"/>
          <w:szCs w:val="22"/>
        </w:rPr>
      </w:pPr>
      <w:r w:rsidRPr="00475926">
        <w:rPr>
          <w:rFonts w:ascii="Arial" w:hAnsi="Arial" w:cs="Arial"/>
          <w:color w:val="000000"/>
          <w:sz w:val="22"/>
          <w:szCs w:val="22"/>
        </w:rPr>
        <w:t xml:space="preserve">A New Zealand regulatory scheme must have minimal regulatory burden and support technology innovation introduction that improves health outcomes for New Zealand and contributes to economic growth. </w:t>
      </w:r>
      <w:r w:rsidR="00FB2287" w:rsidRPr="00475926">
        <w:rPr>
          <w:rFonts w:ascii="Arial" w:hAnsi="Arial" w:cs="Arial"/>
          <w:color w:val="000000"/>
          <w:sz w:val="22"/>
          <w:szCs w:val="22"/>
        </w:rPr>
        <w:tab/>
      </w:r>
      <w:r w:rsidR="00FB2287" w:rsidRPr="00475926">
        <w:rPr>
          <w:rFonts w:ascii="Arial" w:hAnsi="Arial" w:cs="Arial"/>
          <w:color w:val="000000"/>
          <w:sz w:val="22"/>
          <w:szCs w:val="22"/>
        </w:rPr>
        <w:tab/>
      </w:r>
    </w:p>
    <w:p w14:paraId="7EC50A24" w14:textId="77777777" w:rsidR="00FB2287" w:rsidRPr="00FB2287" w:rsidRDefault="00FB2287" w:rsidP="00F56F4C">
      <w:pPr>
        <w:pStyle w:val="ListParagraph"/>
        <w:spacing w:after="120"/>
        <w:ind w:left="1080"/>
        <w:rPr>
          <w:rFonts w:ascii="Arial" w:hAnsi="Arial" w:cs="Arial"/>
        </w:rPr>
      </w:pPr>
    </w:p>
    <w:p w14:paraId="6822F286" w14:textId="77777777" w:rsidR="006733C9" w:rsidRDefault="006733C9" w:rsidP="00F56F4C">
      <w:pPr>
        <w:spacing w:after="120"/>
        <w:rPr>
          <w:b/>
        </w:rPr>
      </w:pPr>
    </w:p>
    <w:p w14:paraId="1FBEEACE" w14:textId="77777777" w:rsidR="002B314E" w:rsidRDefault="002B314E" w:rsidP="00F56F4C">
      <w:pPr>
        <w:spacing w:after="120"/>
        <w:rPr>
          <w:b/>
        </w:rPr>
      </w:pPr>
    </w:p>
    <w:p w14:paraId="7A42986E" w14:textId="77777777" w:rsidR="002B314E" w:rsidRDefault="002B314E" w:rsidP="00F56F4C">
      <w:pPr>
        <w:spacing w:after="120"/>
        <w:rPr>
          <w:b/>
        </w:rPr>
      </w:pPr>
    </w:p>
    <w:p w14:paraId="67DEAB9F" w14:textId="77777777" w:rsidR="002B314E" w:rsidRDefault="002B314E" w:rsidP="00F56F4C">
      <w:pPr>
        <w:spacing w:after="120"/>
        <w:rPr>
          <w:b/>
        </w:rPr>
      </w:pPr>
    </w:p>
    <w:p w14:paraId="646ACFBF" w14:textId="77777777" w:rsidR="002B314E" w:rsidRDefault="002B314E" w:rsidP="00F56F4C">
      <w:pPr>
        <w:spacing w:after="120"/>
        <w:rPr>
          <w:b/>
        </w:rPr>
      </w:pPr>
    </w:p>
    <w:p w14:paraId="70B0BC2F" w14:textId="77777777" w:rsidR="002B314E" w:rsidRPr="002B314E" w:rsidRDefault="002B314E" w:rsidP="00F56F4C">
      <w:pPr>
        <w:spacing w:after="120"/>
        <w:rPr>
          <w:rFonts w:ascii="Arial" w:hAnsi="Arial" w:cs="Arial"/>
          <w:b/>
          <w:sz w:val="24"/>
          <w:szCs w:val="24"/>
        </w:rPr>
      </w:pPr>
      <w:r w:rsidRPr="002B314E">
        <w:rPr>
          <w:rFonts w:ascii="Arial" w:hAnsi="Arial" w:cs="Arial"/>
          <w:b/>
          <w:sz w:val="24"/>
          <w:szCs w:val="24"/>
        </w:rPr>
        <w:t>Medical Technology Association of NZ</w:t>
      </w:r>
      <w:r w:rsidRPr="002B314E">
        <w:rPr>
          <w:rFonts w:ascii="Arial" w:hAnsi="Arial" w:cs="Arial"/>
          <w:b/>
          <w:sz w:val="24"/>
          <w:szCs w:val="24"/>
        </w:rPr>
        <w:br/>
        <w:t>P.O. Box 74116</w:t>
      </w:r>
      <w:r w:rsidRPr="002B314E">
        <w:rPr>
          <w:rFonts w:ascii="Arial" w:hAnsi="Arial" w:cs="Arial"/>
          <w:b/>
          <w:sz w:val="24"/>
          <w:szCs w:val="24"/>
        </w:rPr>
        <w:br/>
        <w:t xml:space="preserve">Greenlane Central </w:t>
      </w:r>
      <w:r w:rsidRPr="002B314E">
        <w:rPr>
          <w:rFonts w:ascii="Arial" w:hAnsi="Arial" w:cs="Arial"/>
          <w:b/>
          <w:sz w:val="24"/>
          <w:szCs w:val="24"/>
        </w:rPr>
        <w:br/>
        <w:t>Auckland 1546</w:t>
      </w:r>
    </w:p>
    <w:p w14:paraId="47304332" w14:textId="77777777" w:rsidR="002B314E" w:rsidRPr="002B314E" w:rsidRDefault="002B314E" w:rsidP="00F56F4C">
      <w:pPr>
        <w:spacing w:after="120"/>
        <w:rPr>
          <w:rFonts w:ascii="Arial" w:hAnsi="Arial" w:cs="Arial"/>
          <w:b/>
          <w:sz w:val="24"/>
          <w:szCs w:val="24"/>
        </w:rPr>
      </w:pPr>
      <w:r w:rsidRPr="002B314E">
        <w:rPr>
          <w:rFonts w:ascii="Arial" w:hAnsi="Arial" w:cs="Arial"/>
          <w:b/>
          <w:sz w:val="24"/>
          <w:szCs w:val="24"/>
        </w:rPr>
        <w:t>Phone: +64 9 9173645</w:t>
      </w:r>
      <w:r w:rsidRPr="002B314E">
        <w:rPr>
          <w:rFonts w:ascii="Arial" w:hAnsi="Arial" w:cs="Arial"/>
          <w:b/>
          <w:sz w:val="24"/>
          <w:szCs w:val="24"/>
        </w:rPr>
        <w:br/>
        <w:t>www.mtanz.org.nz</w:t>
      </w:r>
      <w:r w:rsidRPr="002B314E">
        <w:rPr>
          <w:rFonts w:ascii="Arial" w:hAnsi="Arial" w:cs="Arial"/>
          <w:b/>
          <w:sz w:val="24"/>
          <w:szCs w:val="24"/>
        </w:rPr>
        <w:br/>
      </w:r>
    </w:p>
    <w:sectPr w:rsidR="002B314E" w:rsidRPr="002B314E" w:rsidSect="002B314E">
      <w:footerReference w:type="default" r:id="rId10"/>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133A2" w14:textId="77777777" w:rsidR="00302CD8" w:rsidRDefault="00302CD8" w:rsidP="00197BAB">
      <w:pPr>
        <w:spacing w:after="0" w:line="240" w:lineRule="auto"/>
      </w:pPr>
      <w:r>
        <w:separator/>
      </w:r>
    </w:p>
  </w:endnote>
  <w:endnote w:type="continuationSeparator" w:id="0">
    <w:p w14:paraId="0E2A2A98" w14:textId="77777777" w:rsidR="00302CD8" w:rsidRDefault="00302CD8" w:rsidP="00197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706333"/>
      <w:docPartObj>
        <w:docPartGallery w:val="Page Numbers (Bottom of Page)"/>
        <w:docPartUnique/>
      </w:docPartObj>
    </w:sdtPr>
    <w:sdtEndPr>
      <w:rPr>
        <w:color w:val="7F7F7F" w:themeColor="background1" w:themeShade="7F"/>
        <w:spacing w:val="60"/>
      </w:rPr>
    </w:sdtEndPr>
    <w:sdtContent>
      <w:p w14:paraId="4F807EA4" w14:textId="77777777" w:rsidR="002B314E" w:rsidRDefault="002B31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32BE">
          <w:rPr>
            <w:noProof/>
          </w:rPr>
          <w:t>1</w:t>
        </w:r>
        <w:r>
          <w:rPr>
            <w:noProof/>
          </w:rPr>
          <w:fldChar w:fldCharType="end"/>
        </w:r>
        <w:r>
          <w:t xml:space="preserve"> | </w:t>
        </w:r>
        <w:r>
          <w:rPr>
            <w:color w:val="7F7F7F" w:themeColor="background1" w:themeShade="7F"/>
            <w:spacing w:val="60"/>
          </w:rPr>
          <w:t>Page</w:t>
        </w:r>
      </w:p>
    </w:sdtContent>
  </w:sdt>
  <w:p w14:paraId="0F872DCE" w14:textId="77777777" w:rsidR="00197BAB" w:rsidRDefault="0019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C920C" w14:textId="77777777" w:rsidR="00302CD8" w:rsidRDefault="00302CD8" w:rsidP="00197BAB">
      <w:pPr>
        <w:spacing w:after="0" w:line="240" w:lineRule="auto"/>
      </w:pPr>
      <w:r>
        <w:separator/>
      </w:r>
    </w:p>
  </w:footnote>
  <w:footnote w:type="continuationSeparator" w:id="0">
    <w:p w14:paraId="084E4833" w14:textId="77777777" w:rsidR="00302CD8" w:rsidRDefault="00302CD8" w:rsidP="00197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4332"/>
    <w:multiLevelType w:val="hybridMultilevel"/>
    <w:tmpl w:val="0A4C55AC"/>
    <w:lvl w:ilvl="0" w:tplc="0C09001B">
      <w:start w:val="1"/>
      <w:numFmt w:val="lowerRoman"/>
      <w:lvlText w:val="%1."/>
      <w:lvlJc w:val="righ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4671ADF"/>
    <w:multiLevelType w:val="hybridMultilevel"/>
    <w:tmpl w:val="8202218E"/>
    <w:lvl w:ilvl="0" w:tplc="58AAD07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AAC0E51"/>
    <w:multiLevelType w:val="hybridMultilevel"/>
    <w:tmpl w:val="93628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FB13DC0"/>
    <w:multiLevelType w:val="hybridMultilevel"/>
    <w:tmpl w:val="54D0360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43D7DD7"/>
    <w:multiLevelType w:val="hybridMultilevel"/>
    <w:tmpl w:val="D7D6C6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CFF7C11"/>
    <w:multiLevelType w:val="hybridMultilevel"/>
    <w:tmpl w:val="E5D6D91C"/>
    <w:lvl w:ilvl="0" w:tplc="0C090019">
      <w:start w:val="1"/>
      <w:numFmt w:val="lowerLetter"/>
      <w:lvlText w:val="%1."/>
      <w:lvlJc w:val="left"/>
      <w:pPr>
        <w:ind w:left="1407" w:hanging="360"/>
      </w:pPr>
    </w:lvl>
    <w:lvl w:ilvl="1" w:tplc="0C090019" w:tentative="1">
      <w:start w:val="1"/>
      <w:numFmt w:val="lowerLetter"/>
      <w:lvlText w:val="%2."/>
      <w:lvlJc w:val="left"/>
      <w:pPr>
        <w:ind w:left="2127" w:hanging="360"/>
      </w:pPr>
    </w:lvl>
    <w:lvl w:ilvl="2" w:tplc="0C09001B" w:tentative="1">
      <w:start w:val="1"/>
      <w:numFmt w:val="lowerRoman"/>
      <w:lvlText w:val="%3."/>
      <w:lvlJc w:val="right"/>
      <w:pPr>
        <w:ind w:left="2847" w:hanging="180"/>
      </w:pPr>
    </w:lvl>
    <w:lvl w:ilvl="3" w:tplc="0C09000F" w:tentative="1">
      <w:start w:val="1"/>
      <w:numFmt w:val="decimal"/>
      <w:lvlText w:val="%4."/>
      <w:lvlJc w:val="left"/>
      <w:pPr>
        <w:ind w:left="3567" w:hanging="360"/>
      </w:pPr>
    </w:lvl>
    <w:lvl w:ilvl="4" w:tplc="0C090019" w:tentative="1">
      <w:start w:val="1"/>
      <w:numFmt w:val="lowerLetter"/>
      <w:lvlText w:val="%5."/>
      <w:lvlJc w:val="left"/>
      <w:pPr>
        <w:ind w:left="4287" w:hanging="360"/>
      </w:pPr>
    </w:lvl>
    <w:lvl w:ilvl="5" w:tplc="0C09001B" w:tentative="1">
      <w:start w:val="1"/>
      <w:numFmt w:val="lowerRoman"/>
      <w:lvlText w:val="%6."/>
      <w:lvlJc w:val="right"/>
      <w:pPr>
        <w:ind w:left="5007" w:hanging="180"/>
      </w:pPr>
    </w:lvl>
    <w:lvl w:ilvl="6" w:tplc="0C09000F" w:tentative="1">
      <w:start w:val="1"/>
      <w:numFmt w:val="decimal"/>
      <w:lvlText w:val="%7."/>
      <w:lvlJc w:val="left"/>
      <w:pPr>
        <w:ind w:left="5727" w:hanging="360"/>
      </w:pPr>
    </w:lvl>
    <w:lvl w:ilvl="7" w:tplc="0C090019" w:tentative="1">
      <w:start w:val="1"/>
      <w:numFmt w:val="lowerLetter"/>
      <w:lvlText w:val="%8."/>
      <w:lvlJc w:val="left"/>
      <w:pPr>
        <w:ind w:left="6447" w:hanging="360"/>
      </w:pPr>
    </w:lvl>
    <w:lvl w:ilvl="8" w:tplc="0C09001B" w:tentative="1">
      <w:start w:val="1"/>
      <w:numFmt w:val="lowerRoman"/>
      <w:lvlText w:val="%9."/>
      <w:lvlJc w:val="right"/>
      <w:pPr>
        <w:ind w:left="7167" w:hanging="180"/>
      </w:pPr>
    </w:lvl>
  </w:abstractNum>
  <w:abstractNum w:abstractNumId="6">
    <w:nsid w:val="5CB141B0"/>
    <w:multiLevelType w:val="hybridMultilevel"/>
    <w:tmpl w:val="D42C4346"/>
    <w:lvl w:ilvl="0" w:tplc="CC3CB5E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06E31D9"/>
    <w:multiLevelType w:val="hybridMultilevel"/>
    <w:tmpl w:val="153CEE7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nsid w:val="632C6253"/>
    <w:multiLevelType w:val="hybridMultilevel"/>
    <w:tmpl w:val="8A542EAE"/>
    <w:lvl w:ilvl="0" w:tplc="D692471C">
      <w:start w:val="1"/>
      <w:numFmt w:val="decimal"/>
      <w:lvlText w:val="%1"/>
      <w:lvlJc w:val="left"/>
      <w:pPr>
        <w:ind w:left="359" w:hanging="360"/>
      </w:pPr>
      <w:rPr>
        <w:rFonts w:hint="default"/>
      </w:rPr>
    </w:lvl>
    <w:lvl w:ilvl="1" w:tplc="0C090019" w:tentative="1">
      <w:start w:val="1"/>
      <w:numFmt w:val="lowerLetter"/>
      <w:lvlText w:val="%2."/>
      <w:lvlJc w:val="left"/>
      <w:pPr>
        <w:ind w:left="1079" w:hanging="360"/>
      </w:pPr>
    </w:lvl>
    <w:lvl w:ilvl="2" w:tplc="0C09001B" w:tentative="1">
      <w:start w:val="1"/>
      <w:numFmt w:val="lowerRoman"/>
      <w:lvlText w:val="%3."/>
      <w:lvlJc w:val="right"/>
      <w:pPr>
        <w:ind w:left="1799" w:hanging="180"/>
      </w:pPr>
    </w:lvl>
    <w:lvl w:ilvl="3" w:tplc="0C09000F" w:tentative="1">
      <w:start w:val="1"/>
      <w:numFmt w:val="decimal"/>
      <w:lvlText w:val="%4."/>
      <w:lvlJc w:val="left"/>
      <w:pPr>
        <w:ind w:left="2519" w:hanging="360"/>
      </w:pPr>
    </w:lvl>
    <w:lvl w:ilvl="4" w:tplc="0C090019" w:tentative="1">
      <w:start w:val="1"/>
      <w:numFmt w:val="lowerLetter"/>
      <w:lvlText w:val="%5."/>
      <w:lvlJc w:val="left"/>
      <w:pPr>
        <w:ind w:left="3239" w:hanging="360"/>
      </w:pPr>
    </w:lvl>
    <w:lvl w:ilvl="5" w:tplc="0C09001B" w:tentative="1">
      <w:start w:val="1"/>
      <w:numFmt w:val="lowerRoman"/>
      <w:lvlText w:val="%6."/>
      <w:lvlJc w:val="right"/>
      <w:pPr>
        <w:ind w:left="3959" w:hanging="180"/>
      </w:pPr>
    </w:lvl>
    <w:lvl w:ilvl="6" w:tplc="0C09000F" w:tentative="1">
      <w:start w:val="1"/>
      <w:numFmt w:val="decimal"/>
      <w:lvlText w:val="%7."/>
      <w:lvlJc w:val="left"/>
      <w:pPr>
        <w:ind w:left="4679" w:hanging="360"/>
      </w:pPr>
    </w:lvl>
    <w:lvl w:ilvl="7" w:tplc="0C090019" w:tentative="1">
      <w:start w:val="1"/>
      <w:numFmt w:val="lowerLetter"/>
      <w:lvlText w:val="%8."/>
      <w:lvlJc w:val="left"/>
      <w:pPr>
        <w:ind w:left="5399" w:hanging="360"/>
      </w:pPr>
    </w:lvl>
    <w:lvl w:ilvl="8" w:tplc="0C09001B" w:tentative="1">
      <w:start w:val="1"/>
      <w:numFmt w:val="lowerRoman"/>
      <w:lvlText w:val="%9."/>
      <w:lvlJc w:val="right"/>
      <w:pPr>
        <w:ind w:left="6119" w:hanging="180"/>
      </w:pPr>
    </w:lvl>
  </w:abstractNum>
  <w:abstractNum w:abstractNumId="9">
    <w:nsid w:val="69FA61BB"/>
    <w:multiLevelType w:val="hybridMultilevel"/>
    <w:tmpl w:val="6DD887FE"/>
    <w:lvl w:ilvl="0" w:tplc="14090017">
      <w:start w:val="1"/>
      <w:numFmt w:val="lowerLetter"/>
      <w:lvlText w:val="%1)"/>
      <w:lvlJc w:val="left"/>
      <w:pPr>
        <w:ind w:left="720" w:hanging="360"/>
      </w:pPr>
      <w:rPr>
        <w:rFonts w:hint="default"/>
      </w:rPr>
    </w:lvl>
    <w:lvl w:ilvl="1" w:tplc="87509C7E">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2F27E1E"/>
    <w:multiLevelType w:val="hybridMultilevel"/>
    <w:tmpl w:val="3288E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9"/>
  </w:num>
  <w:num w:numId="6">
    <w:abstractNumId w:val="10"/>
  </w:num>
  <w:num w:numId="7">
    <w:abstractNumId w:val="8"/>
  </w:num>
  <w:num w:numId="8">
    <w:abstractNumId w:val="5"/>
  </w:num>
  <w:num w:numId="9">
    <w:abstractNumId w:val="0"/>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C9"/>
    <w:rsid w:val="00026F0D"/>
    <w:rsid w:val="00032147"/>
    <w:rsid w:val="000A182E"/>
    <w:rsid w:val="000F0A56"/>
    <w:rsid w:val="00112D84"/>
    <w:rsid w:val="00156C71"/>
    <w:rsid w:val="00165783"/>
    <w:rsid w:val="00197BAB"/>
    <w:rsid w:val="001B2417"/>
    <w:rsid w:val="001D2ABC"/>
    <w:rsid w:val="001F6F4D"/>
    <w:rsid w:val="00210972"/>
    <w:rsid w:val="00242A4A"/>
    <w:rsid w:val="00263102"/>
    <w:rsid w:val="002B314E"/>
    <w:rsid w:val="002D7D7B"/>
    <w:rsid w:val="002F661C"/>
    <w:rsid w:val="00302CD8"/>
    <w:rsid w:val="00333D4C"/>
    <w:rsid w:val="00367F73"/>
    <w:rsid w:val="0037225F"/>
    <w:rsid w:val="00387DE3"/>
    <w:rsid w:val="003B1295"/>
    <w:rsid w:val="003C43F7"/>
    <w:rsid w:val="00400617"/>
    <w:rsid w:val="00423D3E"/>
    <w:rsid w:val="00475926"/>
    <w:rsid w:val="004B37CC"/>
    <w:rsid w:val="004C10C6"/>
    <w:rsid w:val="004E17B2"/>
    <w:rsid w:val="004E676F"/>
    <w:rsid w:val="00504589"/>
    <w:rsid w:val="0050743A"/>
    <w:rsid w:val="005473DD"/>
    <w:rsid w:val="005E2456"/>
    <w:rsid w:val="005F26A1"/>
    <w:rsid w:val="00637999"/>
    <w:rsid w:val="0064024D"/>
    <w:rsid w:val="006733C9"/>
    <w:rsid w:val="006932BE"/>
    <w:rsid w:val="00715779"/>
    <w:rsid w:val="00724CFB"/>
    <w:rsid w:val="00771B7C"/>
    <w:rsid w:val="00791134"/>
    <w:rsid w:val="007C5009"/>
    <w:rsid w:val="007E5FF6"/>
    <w:rsid w:val="008230E9"/>
    <w:rsid w:val="00836C6C"/>
    <w:rsid w:val="00854489"/>
    <w:rsid w:val="00896A9D"/>
    <w:rsid w:val="008A3A42"/>
    <w:rsid w:val="008C64E7"/>
    <w:rsid w:val="00922EB0"/>
    <w:rsid w:val="00945C32"/>
    <w:rsid w:val="009670CC"/>
    <w:rsid w:val="00973B7B"/>
    <w:rsid w:val="00A16916"/>
    <w:rsid w:val="00A70D54"/>
    <w:rsid w:val="00AC05A9"/>
    <w:rsid w:val="00AE4F76"/>
    <w:rsid w:val="00B113B0"/>
    <w:rsid w:val="00B22045"/>
    <w:rsid w:val="00B54B5F"/>
    <w:rsid w:val="00B61A60"/>
    <w:rsid w:val="00B67A09"/>
    <w:rsid w:val="00B81F52"/>
    <w:rsid w:val="00BB6753"/>
    <w:rsid w:val="00BC5CCD"/>
    <w:rsid w:val="00C13221"/>
    <w:rsid w:val="00C17C43"/>
    <w:rsid w:val="00C3137A"/>
    <w:rsid w:val="00CC26CE"/>
    <w:rsid w:val="00D15E88"/>
    <w:rsid w:val="00DE5DC5"/>
    <w:rsid w:val="00E17795"/>
    <w:rsid w:val="00EE2C9B"/>
    <w:rsid w:val="00F0685F"/>
    <w:rsid w:val="00F301F8"/>
    <w:rsid w:val="00F4338C"/>
    <w:rsid w:val="00F56F4C"/>
    <w:rsid w:val="00F610C5"/>
    <w:rsid w:val="00F61807"/>
    <w:rsid w:val="00F711D8"/>
    <w:rsid w:val="00F87790"/>
    <w:rsid w:val="00F96DF5"/>
    <w:rsid w:val="00FA04B5"/>
    <w:rsid w:val="00FB2287"/>
    <w:rsid w:val="00FE63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A6BA1"/>
  <w15:docId w15:val="{A070937E-7F45-4FD9-B2A9-F54132B1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926"/>
  </w:style>
  <w:style w:type="paragraph" w:styleId="Heading1">
    <w:name w:val="heading 1"/>
    <w:basedOn w:val="Normal"/>
    <w:next w:val="Normal"/>
    <w:link w:val="Heading1Char"/>
    <w:uiPriority w:val="9"/>
    <w:qFormat/>
    <w:rsid w:val="0047592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7592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7592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7592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7592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7592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7592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7592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592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B5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4CFB"/>
    <w:pPr>
      <w:ind w:left="720"/>
      <w:contextualSpacing/>
    </w:pPr>
  </w:style>
  <w:style w:type="paragraph" w:styleId="Header">
    <w:name w:val="header"/>
    <w:basedOn w:val="Normal"/>
    <w:link w:val="HeaderChar"/>
    <w:uiPriority w:val="99"/>
    <w:unhideWhenUsed/>
    <w:rsid w:val="00197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BAB"/>
  </w:style>
  <w:style w:type="paragraph" w:styleId="Footer">
    <w:name w:val="footer"/>
    <w:basedOn w:val="Normal"/>
    <w:link w:val="FooterChar"/>
    <w:uiPriority w:val="99"/>
    <w:unhideWhenUsed/>
    <w:rsid w:val="00197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BAB"/>
  </w:style>
  <w:style w:type="paragraph" w:styleId="BalloonText">
    <w:name w:val="Balloon Text"/>
    <w:basedOn w:val="Normal"/>
    <w:link w:val="BalloonTextChar"/>
    <w:uiPriority w:val="99"/>
    <w:semiHidden/>
    <w:unhideWhenUsed/>
    <w:rsid w:val="00836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6C"/>
    <w:rPr>
      <w:rFonts w:ascii="Tahoma" w:hAnsi="Tahoma" w:cs="Tahoma"/>
      <w:sz w:val="16"/>
      <w:szCs w:val="16"/>
    </w:rPr>
  </w:style>
  <w:style w:type="character" w:styleId="CommentReference">
    <w:name w:val="annotation reference"/>
    <w:basedOn w:val="DefaultParagraphFont"/>
    <w:uiPriority w:val="99"/>
    <w:semiHidden/>
    <w:unhideWhenUsed/>
    <w:rsid w:val="00F56F4C"/>
    <w:rPr>
      <w:sz w:val="16"/>
      <w:szCs w:val="16"/>
    </w:rPr>
  </w:style>
  <w:style w:type="paragraph" w:styleId="CommentText">
    <w:name w:val="annotation text"/>
    <w:basedOn w:val="Normal"/>
    <w:link w:val="CommentTextChar"/>
    <w:uiPriority w:val="99"/>
    <w:semiHidden/>
    <w:unhideWhenUsed/>
    <w:rsid w:val="00F56F4C"/>
    <w:pPr>
      <w:spacing w:line="240" w:lineRule="auto"/>
    </w:pPr>
  </w:style>
  <w:style w:type="character" w:customStyle="1" w:styleId="CommentTextChar">
    <w:name w:val="Comment Text Char"/>
    <w:basedOn w:val="DefaultParagraphFont"/>
    <w:link w:val="CommentText"/>
    <w:uiPriority w:val="99"/>
    <w:semiHidden/>
    <w:rsid w:val="00F56F4C"/>
    <w:rPr>
      <w:sz w:val="20"/>
      <w:szCs w:val="20"/>
    </w:rPr>
  </w:style>
  <w:style w:type="paragraph" w:styleId="CommentSubject">
    <w:name w:val="annotation subject"/>
    <w:basedOn w:val="CommentText"/>
    <w:next w:val="CommentText"/>
    <w:link w:val="CommentSubjectChar"/>
    <w:uiPriority w:val="99"/>
    <w:semiHidden/>
    <w:unhideWhenUsed/>
    <w:rsid w:val="00F56F4C"/>
    <w:rPr>
      <w:b/>
      <w:bCs/>
    </w:rPr>
  </w:style>
  <w:style w:type="character" w:customStyle="1" w:styleId="CommentSubjectChar">
    <w:name w:val="Comment Subject Char"/>
    <w:basedOn w:val="CommentTextChar"/>
    <w:link w:val="CommentSubject"/>
    <w:uiPriority w:val="99"/>
    <w:semiHidden/>
    <w:rsid w:val="00F56F4C"/>
    <w:rPr>
      <w:b/>
      <w:bCs/>
      <w:sz w:val="20"/>
      <w:szCs w:val="20"/>
    </w:rPr>
  </w:style>
  <w:style w:type="character" w:customStyle="1" w:styleId="Heading1Char">
    <w:name w:val="Heading 1 Char"/>
    <w:basedOn w:val="DefaultParagraphFont"/>
    <w:link w:val="Heading1"/>
    <w:uiPriority w:val="9"/>
    <w:rsid w:val="0047592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7592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75926"/>
    <w:rPr>
      <w:caps/>
      <w:color w:val="1F4D78" w:themeColor="accent1" w:themeShade="7F"/>
      <w:spacing w:val="15"/>
    </w:rPr>
  </w:style>
  <w:style w:type="character" w:customStyle="1" w:styleId="Heading4Char">
    <w:name w:val="Heading 4 Char"/>
    <w:basedOn w:val="DefaultParagraphFont"/>
    <w:link w:val="Heading4"/>
    <w:uiPriority w:val="9"/>
    <w:semiHidden/>
    <w:rsid w:val="00475926"/>
    <w:rPr>
      <w:caps/>
      <w:color w:val="2E74B5" w:themeColor="accent1" w:themeShade="BF"/>
      <w:spacing w:val="10"/>
    </w:rPr>
  </w:style>
  <w:style w:type="character" w:customStyle="1" w:styleId="Heading5Char">
    <w:name w:val="Heading 5 Char"/>
    <w:basedOn w:val="DefaultParagraphFont"/>
    <w:link w:val="Heading5"/>
    <w:uiPriority w:val="9"/>
    <w:semiHidden/>
    <w:rsid w:val="00475926"/>
    <w:rPr>
      <w:caps/>
      <w:color w:val="2E74B5" w:themeColor="accent1" w:themeShade="BF"/>
      <w:spacing w:val="10"/>
    </w:rPr>
  </w:style>
  <w:style w:type="character" w:customStyle="1" w:styleId="Heading6Char">
    <w:name w:val="Heading 6 Char"/>
    <w:basedOn w:val="DefaultParagraphFont"/>
    <w:link w:val="Heading6"/>
    <w:uiPriority w:val="9"/>
    <w:semiHidden/>
    <w:rsid w:val="00475926"/>
    <w:rPr>
      <w:caps/>
      <w:color w:val="2E74B5" w:themeColor="accent1" w:themeShade="BF"/>
      <w:spacing w:val="10"/>
    </w:rPr>
  </w:style>
  <w:style w:type="character" w:customStyle="1" w:styleId="Heading7Char">
    <w:name w:val="Heading 7 Char"/>
    <w:basedOn w:val="DefaultParagraphFont"/>
    <w:link w:val="Heading7"/>
    <w:uiPriority w:val="9"/>
    <w:semiHidden/>
    <w:rsid w:val="00475926"/>
    <w:rPr>
      <w:caps/>
      <w:color w:val="2E74B5" w:themeColor="accent1" w:themeShade="BF"/>
      <w:spacing w:val="10"/>
    </w:rPr>
  </w:style>
  <w:style w:type="character" w:customStyle="1" w:styleId="Heading8Char">
    <w:name w:val="Heading 8 Char"/>
    <w:basedOn w:val="DefaultParagraphFont"/>
    <w:link w:val="Heading8"/>
    <w:uiPriority w:val="9"/>
    <w:semiHidden/>
    <w:rsid w:val="00475926"/>
    <w:rPr>
      <w:caps/>
      <w:spacing w:val="10"/>
      <w:sz w:val="18"/>
      <w:szCs w:val="18"/>
    </w:rPr>
  </w:style>
  <w:style w:type="character" w:customStyle="1" w:styleId="Heading9Char">
    <w:name w:val="Heading 9 Char"/>
    <w:basedOn w:val="DefaultParagraphFont"/>
    <w:link w:val="Heading9"/>
    <w:uiPriority w:val="9"/>
    <w:semiHidden/>
    <w:rsid w:val="00475926"/>
    <w:rPr>
      <w:i/>
      <w:iCs/>
      <w:caps/>
      <w:spacing w:val="10"/>
      <w:sz w:val="18"/>
      <w:szCs w:val="18"/>
    </w:rPr>
  </w:style>
  <w:style w:type="paragraph" w:styleId="Caption">
    <w:name w:val="caption"/>
    <w:basedOn w:val="Normal"/>
    <w:next w:val="Normal"/>
    <w:uiPriority w:val="35"/>
    <w:semiHidden/>
    <w:unhideWhenUsed/>
    <w:qFormat/>
    <w:rsid w:val="00475926"/>
    <w:rPr>
      <w:b/>
      <w:bCs/>
      <w:color w:val="2E74B5" w:themeColor="accent1" w:themeShade="BF"/>
      <w:sz w:val="16"/>
      <w:szCs w:val="16"/>
    </w:rPr>
  </w:style>
  <w:style w:type="paragraph" w:styleId="Title">
    <w:name w:val="Title"/>
    <w:basedOn w:val="Normal"/>
    <w:next w:val="Normal"/>
    <w:link w:val="TitleChar"/>
    <w:uiPriority w:val="10"/>
    <w:qFormat/>
    <w:rsid w:val="0047592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7592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7592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75926"/>
    <w:rPr>
      <w:caps/>
      <w:color w:val="595959" w:themeColor="text1" w:themeTint="A6"/>
      <w:spacing w:val="10"/>
      <w:sz w:val="21"/>
      <w:szCs w:val="21"/>
    </w:rPr>
  </w:style>
  <w:style w:type="character" w:styleId="Strong">
    <w:name w:val="Strong"/>
    <w:uiPriority w:val="22"/>
    <w:qFormat/>
    <w:rsid w:val="00475926"/>
    <w:rPr>
      <w:b/>
      <w:bCs/>
    </w:rPr>
  </w:style>
  <w:style w:type="character" w:styleId="Emphasis">
    <w:name w:val="Emphasis"/>
    <w:uiPriority w:val="20"/>
    <w:qFormat/>
    <w:rsid w:val="00475926"/>
    <w:rPr>
      <w:caps/>
      <w:color w:val="1F4D78" w:themeColor="accent1" w:themeShade="7F"/>
      <w:spacing w:val="5"/>
    </w:rPr>
  </w:style>
  <w:style w:type="paragraph" w:styleId="NoSpacing">
    <w:name w:val="No Spacing"/>
    <w:uiPriority w:val="1"/>
    <w:qFormat/>
    <w:rsid w:val="00475926"/>
    <w:pPr>
      <w:spacing w:after="0" w:line="240" w:lineRule="auto"/>
    </w:pPr>
  </w:style>
  <w:style w:type="paragraph" w:styleId="Quote">
    <w:name w:val="Quote"/>
    <w:basedOn w:val="Normal"/>
    <w:next w:val="Normal"/>
    <w:link w:val="QuoteChar"/>
    <w:uiPriority w:val="29"/>
    <w:qFormat/>
    <w:rsid w:val="00475926"/>
    <w:rPr>
      <w:i/>
      <w:iCs/>
      <w:sz w:val="24"/>
      <w:szCs w:val="24"/>
    </w:rPr>
  </w:style>
  <w:style w:type="character" w:customStyle="1" w:styleId="QuoteChar">
    <w:name w:val="Quote Char"/>
    <w:basedOn w:val="DefaultParagraphFont"/>
    <w:link w:val="Quote"/>
    <w:uiPriority w:val="29"/>
    <w:rsid w:val="00475926"/>
    <w:rPr>
      <w:i/>
      <w:iCs/>
      <w:sz w:val="24"/>
      <w:szCs w:val="24"/>
    </w:rPr>
  </w:style>
  <w:style w:type="paragraph" w:styleId="IntenseQuote">
    <w:name w:val="Intense Quote"/>
    <w:basedOn w:val="Normal"/>
    <w:next w:val="Normal"/>
    <w:link w:val="IntenseQuoteChar"/>
    <w:uiPriority w:val="30"/>
    <w:qFormat/>
    <w:rsid w:val="0047592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75926"/>
    <w:rPr>
      <w:color w:val="5B9BD5" w:themeColor="accent1"/>
      <w:sz w:val="24"/>
      <w:szCs w:val="24"/>
    </w:rPr>
  </w:style>
  <w:style w:type="character" w:styleId="SubtleEmphasis">
    <w:name w:val="Subtle Emphasis"/>
    <w:uiPriority w:val="19"/>
    <w:qFormat/>
    <w:rsid w:val="00475926"/>
    <w:rPr>
      <w:i/>
      <w:iCs/>
      <w:color w:val="1F4D78" w:themeColor="accent1" w:themeShade="7F"/>
    </w:rPr>
  </w:style>
  <w:style w:type="character" w:styleId="IntenseEmphasis">
    <w:name w:val="Intense Emphasis"/>
    <w:uiPriority w:val="21"/>
    <w:qFormat/>
    <w:rsid w:val="00475926"/>
    <w:rPr>
      <w:b/>
      <w:bCs/>
      <w:caps/>
      <w:color w:val="1F4D78" w:themeColor="accent1" w:themeShade="7F"/>
      <w:spacing w:val="10"/>
    </w:rPr>
  </w:style>
  <w:style w:type="character" w:styleId="SubtleReference">
    <w:name w:val="Subtle Reference"/>
    <w:uiPriority w:val="31"/>
    <w:qFormat/>
    <w:rsid w:val="00475926"/>
    <w:rPr>
      <w:b/>
      <w:bCs/>
      <w:color w:val="5B9BD5" w:themeColor="accent1"/>
    </w:rPr>
  </w:style>
  <w:style w:type="character" w:styleId="IntenseReference">
    <w:name w:val="Intense Reference"/>
    <w:uiPriority w:val="32"/>
    <w:qFormat/>
    <w:rsid w:val="00475926"/>
    <w:rPr>
      <w:b/>
      <w:bCs/>
      <w:i/>
      <w:iCs/>
      <w:caps/>
      <w:color w:val="5B9BD5" w:themeColor="accent1"/>
    </w:rPr>
  </w:style>
  <w:style w:type="character" w:styleId="BookTitle">
    <w:name w:val="Book Title"/>
    <w:uiPriority w:val="33"/>
    <w:qFormat/>
    <w:rsid w:val="00475926"/>
    <w:rPr>
      <w:b/>
      <w:bCs/>
      <w:i/>
      <w:iCs/>
      <w:spacing w:val="0"/>
    </w:rPr>
  </w:style>
  <w:style w:type="paragraph" w:styleId="TOCHeading">
    <w:name w:val="TOC Heading"/>
    <w:basedOn w:val="Heading1"/>
    <w:next w:val="Normal"/>
    <w:uiPriority w:val="39"/>
    <w:semiHidden/>
    <w:unhideWhenUsed/>
    <w:qFormat/>
    <w:rsid w:val="004759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DDA34-0C17-4255-A60E-2C6DEBA9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3299</Words>
  <Characters>18807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22062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Sumner</dc:creator>
  <cp:lastModifiedBy>Pam Thorpe</cp:lastModifiedBy>
  <cp:revision>2</cp:revision>
  <cp:lastPrinted>2015-03-24T00:51:00Z</cp:lastPrinted>
  <dcterms:created xsi:type="dcterms:W3CDTF">2015-03-30T00:00:00Z</dcterms:created>
  <dcterms:modified xsi:type="dcterms:W3CDTF">2015-03-30T00:00:00Z</dcterms:modified>
</cp:coreProperties>
</file>